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CBB20E4" w14:textId="1EC4EC58" w:rsidR="00F9671A" w:rsidRPr="00DC7004" w:rsidRDefault="00D101F3" w:rsidP="00D101F3">
      <w:pPr>
        <w:spacing w:after="0" w:line="240" w:lineRule="auto"/>
        <w:jc w:val="center"/>
        <w:rPr>
          <w:rFonts w:asciiTheme="majorHAnsi" w:hAnsiTheme="majorHAnsi" w:cs="Arial"/>
          <w:b/>
          <w:sz w:val="24"/>
          <w:szCs w:val="24"/>
        </w:rPr>
      </w:pPr>
      <w:r w:rsidRPr="00DC7004">
        <w:rPr>
          <w:rFonts w:asciiTheme="majorHAnsi" w:hAnsiTheme="majorHAnsi" w:cs="Arial"/>
          <w:b/>
          <w:sz w:val="24"/>
          <w:szCs w:val="24"/>
        </w:rPr>
        <w:t>INSPECCION, VIGILANCIA Y CONTROL DE LOS FACTORES DE RIESGOS EN SALUD ASOCIADOS AL AMBIENTE Y AL CONSUMO DE ALIMENTOS Y BEBIDAS</w:t>
      </w:r>
    </w:p>
    <w:p w14:paraId="6ED932FE" w14:textId="77777777" w:rsidR="00D101F3" w:rsidRPr="00DC7004" w:rsidRDefault="00D101F3" w:rsidP="00D101F3">
      <w:pPr>
        <w:spacing w:after="0" w:line="240" w:lineRule="auto"/>
        <w:jc w:val="center"/>
        <w:rPr>
          <w:rFonts w:asciiTheme="majorHAnsi" w:hAnsiTheme="majorHAnsi" w:cs="Arial"/>
          <w:b/>
          <w:sz w:val="24"/>
          <w:szCs w:val="24"/>
        </w:rPr>
      </w:pPr>
    </w:p>
    <w:p w14:paraId="1D861CCE" w14:textId="0B819BD6" w:rsidR="00D101F3" w:rsidRPr="00DC7004" w:rsidRDefault="00D101F3" w:rsidP="00D101F3">
      <w:pPr>
        <w:spacing w:after="0" w:line="240" w:lineRule="auto"/>
        <w:jc w:val="both"/>
        <w:rPr>
          <w:rFonts w:asciiTheme="majorHAnsi" w:hAnsiTheme="majorHAnsi" w:cs="Arial"/>
          <w:b/>
          <w:sz w:val="24"/>
          <w:szCs w:val="24"/>
        </w:rPr>
      </w:pPr>
      <w:r w:rsidRPr="00DC7004">
        <w:rPr>
          <w:rFonts w:asciiTheme="majorHAnsi" w:hAnsiTheme="majorHAnsi" w:cs="Arial"/>
          <w:b/>
          <w:sz w:val="24"/>
          <w:szCs w:val="24"/>
        </w:rPr>
        <w:t>ANTECEDENTES</w:t>
      </w:r>
    </w:p>
    <w:p w14:paraId="06440995" w14:textId="77777777" w:rsidR="00D101F3" w:rsidRPr="00DC7004" w:rsidRDefault="00D101F3" w:rsidP="00D101F3">
      <w:pPr>
        <w:spacing w:after="0" w:line="240" w:lineRule="auto"/>
        <w:jc w:val="both"/>
        <w:rPr>
          <w:rFonts w:asciiTheme="majorHAnsi" w:hAnsiTheme="majorHAnsi" w:cs="Arial"/>
          <w:b/>
          <w:sz w:val="24"/>
          <w:szCs w:val="24"/>
        </w:rPr>
      </w:pPr>
    </w:p>
    <w:p w14:paraId="2E998B14" w14:textId="4A397193" w:rsidR="00134649" w:rsidRPr="00DC7004" w:rsidRDefault="00134649" w:rsidP="00134649">
      <w:pPr>
        <w:spacing w:after="0" w:line="240" w:lineRule="auto"/>
        <w:jc w:val="both"/>
        <w:rPr>
          <w:rFonts w:asciiTheme="majorHAnsi" w:hAnsiTheme="majorHAnsi" w:cs="Arial"/>
          <w:sz w:val="24"/>
          <w:szCs w:val="24"/>
        </w:rPr>
      </w:pPr>
      <w:r w:rsidRPr="00DC7004">
        <w:rPr>
          <w:rFonts w:asciiTheme="majorHAnsi" w:hAnsiTheme="majorHAnsi" w:cs="Arial"/>
          <w:sz w:val="24"/>
          <w:szCs w:val="24"/>
        </w:rPr>
        <w:t xml:space="preserve">El urbanismo y la ruralidad para el municipio de Itagüí se ha establecido a través del Acuerdo 020 de 2007 POT, específicamente de tratamientos, los cuales son decisiones de ordenamiento que permiten orientar diferencialmente la forma de intervenir el territorio, orientados a aplicar acciones ambientales, urbanísticas y arquitectónicas y a regular el desenvolvimiento de las actuaciones urbanas públicas o privadas (urbanización-parcelación – edificación) para la materialización del modelo de ordenamiento.  </w:t>
      </w:r>
    </w:p>
    <w:p w14:paraId="53793D21" w14:textId="77777777" w:rsidR="00134649" w:rsidRPr="00DC7004" w:rsidRDefault="00134649" w:rsidP="00755369">
      <w:pPr>
        <w:spacing w:after="0" w:line="240" w:lineRule="auto"/>
        <w:jc w:val="both"/>
        <w:rPr>
          <w:rFonts w:asciiTheme="majorHAnsi" w:hAnsiTheme="majorHAnsi" w:cs="Arial"/>
          <w:sz w:val="24"/>
          <w:szCs w:val="24"/>
        </w:rPr>
      </w:pPr>
    </w:p>
    <w:p w14:paraId="10F14865" w14:textId="01D01E3C" w:rsidR="00D03939" w:rsidRPr="00DC7004" w:rsidRDefault="001742E9" w:rsidP="00755369">
      <w:pPr>
        <w:spacing w:after="0" w:line="240" w:lineRule="auto"/>
        <w:jc w:val="both"/>
        <w:rPr>
          <w:rFonts w:asciiTheme="majorHAnsi" w:hAnsiTheme="majorHAnsi" w:cs="Arial"/>
          <w:sz w:val="24"/>
          <w:szCs w:val="24"/>
        </w:rPr>
      </w:pPr>
      <w:r w:rsidRPr="00DC7004">
        <w:rPr>
          <w:rFonts w:asciiTheme="majorHAnsi" w:hAnsiTheme="majorHAnsi" w:cs="Arial"/>
          <w:sz w:val="24"/>
          <w:szCs w:val="24"/>
        </w:rPr>
        <w:t xml:space="preserve">Esto ha llevado a que </w:t>
      </w:r>
      <w:r w:rsidR="00755369" w:rsidRPr="00DC7004">
        <w:rPr>
          <w:rFonts w:asciiTheme="majorHAnsi" w:hAnsiTheme="majorHAnsi" w:cs="Arial"/>
          <w:sz w:val="24"/>
          <w:szCs w:val="24"/>
        </w:rPr>
        <w:t>Itagüí</w:t>
      </w:r>
      <w:r w:rsidR="0046322A" w:rsidRPr="00DC7004">
        <w:rPr>
          <w:rFonts w:asciiTheme="majorHAnsi" w:hAnsiTheme="majorHAnsi" w:cs="Arial"/>
          <w:sz w:val="24"/>
          <w:szCs w:val="24"/>
        </w:rPr>
        <w:t xml:space="preserve"> sea</w:t>
      </w:r>
      <w:r w:rsidR="00755369" w:rsidRPr="00DC7004">
        <w:rPr>
          <w:rFonts w:asciiTheme="majorHAnsi" w:hAnsiTheme="majorHAnsi" w:cs="Arial"/>
          <w:sz w:val="24"/>
          <w:szCs w:val="24"/>
        </w:rPr>
        <w:t xml:space="preserve"> uno de los municipios más densamente poblados de Colombia con sus </w:t>
      </w:r>
      <w:r w:rsidR="00DC7004" w:rsidRPr="00DC7004">
        <w:rPr>
          <w:rFonts w:asciiTheme="majorHAnsi" w:hAnsiTheme="majorHAnsi" w:cs="Arial"/>
          <w:sz w:val="24"/>
          <w:szCs w:val="24"/>
        </w:rPr>
        <w:t>276.744 habitantes</w:t>
      </w:r>
      <w:r w:rsidR="00755369" w:rsidRPr="00DC7004">
        <w:rPr>
          <w:rFonts w:asciiTheme="majorHAnsi" w:hAnsiTheme="majorHAnsi" w:cs="Arial"/>
          <w:sz w:val="24"/>
          <w:szCs w:val="24"/>
        </w:rPr>
        <w:t xml:space="preserve"> y sus 21.09 km</w:t>
      </w:r>
      <w:r w:rsidR="00755369" w:rsidRPr="00DC7004">
        <w:rPr>
          <w:rFonts w:asciiTheme="majorHAnsi" w:hAnsiTheme="majorHAnsi" w:cs="Arial"/>
          <w:sz w:val="24"/>
          <w:szCs w:val="24"/>
          <w:vertAlign w:val="superscript"/>
        </w:rPr>
        <w:t>2</w:t>
      </w:r>
      <w:r w:rsidR="00544F50" w:rsidRPr="00DC7004">
        <w:rPr>
          <w:rFonts w:asciiTheme="majorHAnsi" w:hAnsiTheme="majorHAnsi" w:cs="Arial"/>
          <w:sz w:val="24"/>
          <w:szCs w:val="24"/>
          <w:vertAlign w:val="superscript"/>
        </w:rPr>
        <w:t xml:space="preserve"> </w:t>
      </w:r>
      <w:r w:rsidR="00544F50" w:rsidRPr="00DC7004">
        <w:rPr>
          <w:rFonts w:asciiTheme="majorHAnsi" w:hAnsiTheme="majorHAnsi" w:cs="Arial"/>
          <w:sz w:val="24"/>
          <w:szCs w:val="24"/>
        </w:rPr>
        <w:t>(12.18 km</w:t>
      </w:r>
      <w:r w:rsidR="00544F50" w:rsidRPr="00DC7004">
        <w:rPr>
          <w:rFonts w:asciiTheme="majorHAnsi" w:hAnsiTheme="majorHAnsi" w:cs="Arial"/>
          <w:sz w:val="24"/>
          <w:szCs w:val="24"/>
          <w:vertAlign w:val="superscript"/>
        </w:rPr>
        <w:t>2</w:t>
      </w:r>
      <w:r w:rsidR="00544F50" w:rsidRPr="00DC7004">
        <w:rPr>
          <w:rFonts w:asciiTheme="majorHAnsi" w:hAnsiTheme="majorHAnsi" w:cs="Arial"/>
          <w:sz w:val="24"/>
          <w:szCs w:val="24"/>
        </w:rPr>
        <w:t xml:space="preserve"> de zona urbana y 8.91 km</w:t>
      </w:r>
      <w:r w:rsidR="00544F50" w:rsidRPr="00DC7004">
        <w:rPr>
          <w:rFonts w:asciiTheme="majorHAnsi" w:hAnsiTheme="majorHAnsi" w:cs="Arial"/>
          <w:sz w:val="24"/>
          <w:szCs w:val="24"/>
          <w:vertAlign w:val="superscript"/>
        </w:rPr>
        <w:t>2</w:t>
      </w:r>
      <w:r w:rsidR="00544F50" w:rsidRPr="00DC7004">
        <w:rPr>
          <w:rFonts w:asciiTheme="majorHAnsi" w:hAnsiTheme="majorHAnsi" w:cs="Arial"/>
          <w:sz w:val="24"/>
          <w:szCs w:val="24"/>
        </w:rPr>
        <w:t xml:space="preserve"> de zona rural)</w:t>
      </w:r>
      <w:r w:rsidR="00755369" w:rsidRPr="00DC7004">
        <w:rPr>
          <w:rFonts w:asciiTheme="majorHAnsi" w:hAnsiTheme="majorHAnsi" w:cs="Arial"/>
          <w:sz w:val="24"/>
          <w:szCs w:val="24"/>
        </w:rPr>
        <w:t xml:space="preserve">, a su vez </w:t>
      </w:r>
      <w:r w:rsidR="0046322A" w:rsidRPr="00DC7004">
        <w:rPr>
          <w:rFonts w:asciiTheme="majorHAnsi" w:hAnsiTheme="majorHAnsi" w:cs="Arial"/>
          <w:sz w:val="24"/>
          <w:szCs w:val="24"/>
        </w:rPr>
        <w:t xml:space="preserve">con </w:t>
      </w:r>
      <w:r w:rsidR="00755369" w:rsidRPr="00DC7004">
        <w:rPr>
          <w:rFonts w:asciiTheme="majorHAnsi" w:hAnsiTheme="majorHAnsi" w:cs="Arial"/>
          <w:sz w:val="24"/>
          <w:szCs w:val="24"/>
        </w:rPr>
        <w:t>un</w:t>
      </w:r>
      <w:r w:rsidR="00D03939" w:rsidRPr="00DC7004">
        <w:rPr>
          <w:rFonts w:asciiTheme="majorHAnsi" w:hAnsiTheme="majorHAnsi" w:cs="Arial"/>
          <w:sz w:val="24"/>
          <w:szCs w:val="24"/>
        </w:rPr>
        <w:t>a</w:t>
      </w:r>
      <w:r w:rsidR="00755369" w:rsidRPr="00DC7004">
        <w:rPr>
          <w:rFonts w:asciiTheme="majorHAnsi" w:hAnsiTheme="majorHAnsi" w:cs="Arial"/>
          <w:sz w:val="24"/>
          <w:szCs w:val="24"/>
        </w:rPr>
        <w:t xml:space="preserve"> alta densidad de establecimientos comerciales abiertos al público</w:t>
      </w:r>
      <w:r w:rsidR="00D03939" w:rsidRPr="00DC7004">
        <w:rPr>
          <w:rFonts w:asciiTheme="majorHAnsi" w:hAnsiTheme="majorHAnsi" w:cs="Arial"/>
          <w:sz w:val="24"/>
          <w:szCs w:val="24"/>
        </w:rPr>
        <w:t xml:space="preserve">, que </w:t>
      </w:r>
      <w:r w:rsidR="00DC7004" w:rsidRPr="00DC7004">
        <w:rPr>
          <w:rFonts w:asciiTheme="majorHAnsi" w:hAnsiTheme="majorHAnsi" w:cs="Arial"/>
          <w:sz w:val="24"/>
          <w:szCs w:val="24"/>
        </w:rPr>
        <w:t>son objeto</w:t>
      </w:r>
      <w:r w:rsidR="00755369" w:rsidRPr="00DC7004">
        <w:rPr>
          <w:rFonts w:asciiTheme="majorHAnsi" w:hAnsiTheme="majorHAnsi" w:cs="Arial"/>
          <w:sz w:val="24"/>
          <w:szCs w:val="24"/>
        </w:rPr>
        <w:t xml:space="preserve"> de visita por parte</w:t>
      </w:r>
      <w:r w:rsidR="00D03939" w:rsidRPr="00DC7004">
        <w:rPr>
          <w:rFonts w:asciiTheme="majorHAnsi" w:hAnsiTheme="majorHAnsi" w:cs="Arial"/>
          <w:sz w:val="24"/>
          <w:szCs w:val="24"/>
        </w:rPr>
        <w:t xml:space="preserve"> del área de factores de riesgo</w:t>
      </w:r>
      <w:r w:rsidR="00755369" w:rsidRPr="00DC7004">
        <w:rPr>
          <w:rFonts w:asciiTheme="majorHAnsi" w:hAnsiTheme="majorHAnsi" w:cs="Arial"/>
          <w:sz w:val="24"/>
          <w:szCs w:val="24"/>
        </w:rPr>
        <w:t xml:space="preserve"> en salud de la Secretaria de Salud y Protección Social del municipio de</w:t>
      </w:r>
      <w:r w:rsidR="00F74DC6" w:rsidRPr="00DC7004">
        <w:rPr>
          <w:rFonts w:asciiTheme="majorHAnsi" w:hAnsiTheme="majorHAnsi" w:cs="Arial"/>
          <w:sz w:val="24"/>
          <w:szCs w:val="24"/>
        </w:rPr>
        <w:t xml:space="preserve"> Itagüí</w:t>
      </w:r>
      <w:r w:rsidR="00755369" w:rsidRPr="00DC7004">
        <w:rPr>
          <w:rFonts w:asciiTheme="majorHAnsi" w:hAnsiTheme="majorHAnsi" w:cs="Arial"/>
          <w:sz w:val="24"/>
          <w:szCs w:val="24"/>
        </w:rPr>
        <w:t xml:space="preserve">. </w:t>
      </w:r>
    </w:p>
    <w:p w14:paraId="3C993449" w14:textId="77777777" w:rsidR="00D03939" w:rsidRPr="00DC7004" w:rsidRDefault="00D03939" w:rsidP="00755369">
      <w:pPr>
        <w:spacing w:after="0" w:line="240" w:lineRule="auto"/>
        <w:jc w:val="both"/>
        <w:rPr>
          <w:rFonts w:asciiTheme="majorHAnsi" w:hAnsiTheme="majorHAnsi" w:cs="Arial"/>
          <w:sz w:val="24"/>
          <w:szCs w:val="24"/>
        </w:rPr>
      </w:pPr>
    </w:p>
    <w:p w14:paraId="3FCFBBE4" w14:textId="143CB3FA" w:rsidR="00755369" w:rsidRPr="00DC7004" w:rsidRDefault="00755369" w:rsidP="00755369">
      <w:pPr>
        <w:spacing w:after="0" w:line="240" w:lineRule="auto"/>
        <w:jc w:val="both"/>
        <w:rPr>
          <w:rFonts w:asciiTheme="majorHAnsi" w:hAnsiTheme="majorHAnsi" w:cs="Arial"/>
          <w:sz w:val="24"/>
          <w:szCs w:val="24"/>
        </w:rPr>
      </w:pPr>
      <w:r w:rsidRPr="00DC7004">
        <w:rPr>
          <w:rFonts w:asciiTheme="majorHAnsi" w:hAnsiTheme="majorHAnsi" w:cs="Arial"/>
          <w:sz w:val="24"/>
          <w:szCs w:val="24"/>
        </w:rPr>
        <w:t xml:space="preserve">De acuerdo al censo </w:t>
      </w:r>
      <w:r w:rsidR="00FD0FE8" w:rsidRPr="00DC7004">
        <w:rPr>
          <w:rFonts w:asciiTheme="majorHAnsi" w:hAnsiTheme="majorHAnsi" w:cs="Arial"/>
          <w:sz w:val="24"/>
          <w:szCs w:val="24"/>
        </w:rPr>
        <w:t>realizado por la Secretaría de Salud y Protección Social en el área de Inspección</w:t>
      </w:r>
      <w:r w:rsidR="00134649" w:rsidRPr="00DC7004">
        <w:rPr>
          <w:rFonts w:asciiTheme="majorHAnsi" w:hAnsiTheme="majorHAnsi" w:cs="Arial"/>
          <w:sz w:val="24"/>
          <w:szCs w:val="24"/>
        </w:rPr>
        <w:t>, V</w:t>
      </w:r>
      <w:r w:rsidR="00FD0FE8" w:rsidRPr="00DC7004">
        <w:rPr>
          <w:rFonts w:asciiTheme="majorHAnsi" w:hAnsiTheme="majorHAnsi" w:cs="Arial"/>
          <w:sz w:val="24"/>
          <w:szCs w:val="24"/>
        </w:rPr>
        <w:t>igilancia y Contro</w:t>
      </w:r>
      <w:bookmarkStart w:id="0" w:name="_GoBack"/>
      <w:bookmarkEnd w:id="0"/>
      <w:r w:rsidR="00FD0FE8" w:rsidRPr="00DC7004">
        <w:rPr>
          <w:rFonts w:asciiTheme="majorHAnsi" w:hAnsiTheme="majorHAnsi" w:cs="Arial"/>
          <w:sz w:val="24"/>
          <w:szCs w:val="24"/>
        </w:rPr>
        <w:t>l de factores de riesgo asociados al ambiente y al consumo</w:t>
      </w:r>
      <w:r w:rsidRPr="00DC7004">
        <w:rPr>
          <w:rFonts w:asciiTheme="majorHAnsi" w:hAnsiTheme="majorHAnsi" w:cs="Arial"/>
          <w:sz w:val="24"/>
          <w:szCs w:val="24"/>
        </w:rPr>
        <w:t xml:space="preserve"> existen alrededor de 11.000 establecimientos comerciales asentados en el territorio, por lo que las actividades de Inspección, Vigilancia y Control son de vital importancia con el objetivo de mantener controlados los factores de riesgos en salud  inherentes a las diferentes actividades económicas desarrolladas en nuestro municipio.</w:t>
      </w:r>
    </w:p>
    <w:p w14:paraId="64DE1C25" w14:textId="77777777" w:rsidR="00A433B5" w:rsidRPr="00DC7004" w:rsidRDefault="00A433B5" w:rsidP="00D101F3">
      <w:pPr>
        <w:spacing w:after="0" w:line="240" w:lineRule="auto"/>
        <w:jc w:val="both"/>
        <w:rPr>
          <w:rFonts w:asciiTheme="majorHAnsi" w:hAnsiTheme="majorHAnsi" w:cs="Arial"/>
          <w:sz w:val="24"/>
          <w:szCs w:val="24"/>
        </w:rPr>
      </w:pPr>
    </w:p>
    <w:p w14:paraId="52E4B888" w14:textId="79A6E472" w:rsidR="00356121" w:rsidRPr="00DC7004" w:rsidRDefault="001A6900" w:rsidP="00D101F3">
      <w:pPr>
        <w:spacing w:after="0" w:line="240" w:lineRule="auto"/>
        <w:jc w:val="both"/>
        <w:rPr>
          <w:rFonts w:asciiTheme="majorHAnsi" w:hAnsiTheme="majorHAnsi" w:cs="Arial"/>
          <w:sz w:val="24"/>
          <w:szCs w:val="24"/>
        </w:rPr>
      </w:pPr>
      <w:r w:rsidRPr="00DC7004">
        <w:rPr>
          <w:rFonts w:asciiTheme="majorHAnsi" w:hAnsiTheme="majorHAnsi" w:cs="Arial"/>
          <w:sz w:val="24"/>
          <w:szCs w:val="24"/>
        </w:rPr>
        <w:t>Adicionalmente, este</w:t>
      </w:r>
      <w:r w:rsidR="007675DE" w:rsidRPr="00DC7004">
        <w:rPr>
          <w:rFonts w:asciiTheme="majorHAnsi" w:hAnsiTheme="majorHAnsi" w:cs="Arial"/>
          <w:sz w:val="24"/>
          <w:szCs w:val="24"/>
        </w:rPr>
        <w:t xml:space="preserve"> carácter industrial y comercial, </w:t>
      </w:r>
      <w:r w:rsidRPr="00DC7004">
        <w:rPr>
          <w:rFonts w:asciiTheme="majorHAnsi" w:hAnsiTheme="majorHAnsi" w:cs="Arial"/>
          <w:sz w:val="24"/>
          <w:szCs w:val="24"/>
        </w:rPr>
        <w:t>conlleva a</w:t>
      </w:r>
      <w:r w:rsidR="007675DE" w:rsidRPr="00DC7004">
        <w:rPr>
          <w:rFonts w:asciiTheme="majorHAnsi" w:hAnsiTheme="majorHAnsi" w:cs="Arial"/>
          <w:sz w:val="24"/>
          <w:szCs w:val="24"/>
        </w:rPr>
        <w:t xml:space="preserve"> un elevado flujo de personas tanto </w:t>
      </w:r>
      <w:r w:rsidR="00FC6B6E" w:rsidRPr="00DC7004">
        <w:rPr>
          <w:rFonts w:asciiTheme="majorHAnsi" w:hAnsiTheme="majorHAnsi" w:cs="Arial"/>
          <w:sz w:val="24"/>
          <w:szCs w:val="24"/>
        </w:rPr>
        <w:t>a nivel regional como</w:t>
      </w:r>
      <w:r w:rsidR="007675DE" w:rsidRPr="00DC7004">
        <w:rPr>
          <w:rFonts w:asciiTheme="majorHAnsi" w:hAnsiTheme="majorHAnsi" w:cs="Arial"/>
          <w:sz w:val="24"/>
          <w:szCs w:val="24"/>
        </w:rPr>
        <w:t xml:space="preserve"> nacional, </w:t>
      </w:r>
      <w:r w:rsidR="00FC6B6E" w:rsidRPr="00DC7004">
        <w:rPr>
          <w:rFonts w:asciiTheme="majorHAnsi" w:hAnsiTheme="majorHAnsi" w:cs="Arial"/>
          <w:sz w:val="24"/>
          <w:szCs w:val="24"/>
        </w:rPr>
        <w:t xml:space="preserve">debido a la presencia de </w:t>
      </w:r>
      <w:r w:rsidR="0069552C" w:rsidRPr="00DC7004">
        <w:rPr>
          <w:rFonts w:asciiTheme="majorHAnsi" w:hAnsiTheme="majorHAnsi" w:cs="Arial"/>
          <w:sz w:val="24"/>
          <w:szCs w:val="24"/>
        </w:rPr>
        <w:t>la c</w:t>
      </w:r>
      <w:r w:rsidR="007675DE" w:rsidRPr="00DC7004">
        <w:rPr>
          <w:rFonts w:asciiTheme="majorHAnsi" w:hAnsiTheme="majorHAnsi" w:cs="Arial"/>
          <w:sz w:val="24"/>
          <w:szCs w:val="24"/>
        </w:rPr>
        <w:t xml:space="preserve">entral de </w:t>
      </w:r>
      <w:r w:rsidR="0069552C" w:rsidRPr="00DC7004">
        <w:rPr>
          <w:rFonts w:asciiTheme="majorHAnsi" w:hAnsiTheme="majorHAnsi" w:cs="Arial"/>
          <w:sz w:val="24"/>
          <w:szCs w:val="24"/>
        </w:rPr>
        <w:t>abasto más grande</w:t>
      </w:r>
      <w:r w:rsidR="007675DE" w:rsidRPr="00DC7004">
        <w:rPr>
          <w:rFonts w:asciiTheme="majorHAnsi" w:hAnsiTheme="majorHAnsi" w:cs="Arial"/>
          <w:sz w:val="24"/>
          <w:szCs w:val="24"/>
        </w:rPr>
        <w:t xml:space="preserve"> del departamento </w:t>
      </w:r>
      <w:r w:rsidR="0069552C" w:rsidRPr="00DC7004">
        <w:rPr>
          <w:rFonts w:asciiTheme="majorHAnsi" w:hAnsiTheme="majorHAnsi" w:cs="Arial"/>
          <w:sz w:val="24"/>
          <w:szCs w:val="24"/>
        </w:rPr>
        <w:t>-</w:t>
      </w:r>
      <w:r w:rsidR="007675DE" w:rsidRPr="00DC7004">
        <w:rPr>
          <w:rFonts w:asciiTheme="majorHAnsi" w:hAnsiTheme="majorHAnsi" w:cs="Arial"/>
          <w:sz w:val="24"/>
          <w:szCs w:val="24"/>
        </w:rPr>
        <w:t>La Central Mayorista de Antioquia</w:t>
      </w:r>
      <w:r w:rsidR="00755369" w:rsidRPr="00DC7004">
        <w:rPr>
          <w:rFonts w:asciiTheme="majorHAnsi" w:hAnsiTheme="majorHAnsi" w:cs="Arial"/>
          <w:sz w:val="24"/>
          <w:szCs w:val="24"/>
        </w:rPr>
        <w:t>-</w:t>
      </w:r>
      <w:r w:rsidR="007675DE" w:rsidRPr="00DC7004">
        <w:rPr>
          <w:rFonts w:asciiTheme="majorHAnsi" w:hAnsiTheme="majorHAnsi" w:cs="Arial"/>
          <w:sz w:val="24"/>
          <w:szCs w:val="24"/>
        </w:rPr>
        <w:t xml:space="preserve">, la Fábrica de Licores de Antioquia </w:t>
      </w:r>
      <w:r w:rsidR="0069552C" w:rsidRPr="00DC7004">
        <w:rPr>
          <w:rFonts w:asciiTheme="majorHAnsi" w:hAnsiTheme="majorHAnsi" w:cs="Arial"/>
          <w:sz w:val="24"/>
          <w:szCs w:val="24"/>
        </w:rPr>
        <w:t>– FLA</w:t>
      </w:r>
      <w:r w:rsidR="00DC7004" w:rsidRPr="00DC7004">
        <w:rPr>
          <w:rFonts w:asciiTheme="majorHAnsi" w:hAnsiTheme="majorHAnsi" w:cs="Arial"/>
          <w:sz w:val="24"/>
          <w:szCs w:val="24"/>
        </w:rPr>
        <w:t>-.</w:t>
      </w:r>
    </w:p>
    <w:p w14:paraId="771287B1" w14:textId="77777777" w:rsidR="004B7DF5" w:rsidRPr="00DC7004" w:rsidRDefault="004B7DF5" w:rsidP="00D101F3">
      <w:pPr>
        <w:spacing w:after="0" w:line="240" w:lineRule="auto"/>
        <w:jc w:val="both"/>
        <w:rPr>
          <w:rFonts w:asciiTheme="majorHAnsi" w:hAnsiTheme="majorHAnsi" w:cs="Arial"/>
          <w:sz w:val="24"/>
          <w:szCs w:val="24"/>
        </w:rPr>
      </w:pPr>
    </w:p>
    <w:p w14:paraId="1CEC819F" w14:textId="2A39E779" w:rsidR="004B7DF5" w:rsidRPr="00DC7004" w:rsidRDefault="004B7DF5" w:rsidP="00D101F3">
      <w:pPr>
        <w:spacing w:after="0" w:line="240" w:lineRule="auto"/>
        <w:jc w:val="both"/>
        <w:rPr>
          <w:rFonts w:asciiTheme="majorHAnsi" w:hAnsiTheme="majorHAnsi" w:cs="Arial"/>
          <w:b/>
          <w:sz w:val="24"/>
          <w:szCs w:val="24"/>
        </w:rPr>
      </w:pPr>
      <w:r w:rsidRPr="00DC7004">
        <w:rPr>
          <w:rFonts w:asciiTheme="majorHAnsi" w:hAnsiTheme="majorHAnsi" w:cs="Arial"/>
          <w:b/>
          <w:sz w:val="24"/>
          <w:szCs w:val="24"/>
        </w:rPr>
        <w:t xml:space="preserve">Riesgo </w:t>
      </w:r>
      <w:r w:rsidR="002B3E4C" w:rsidRPr="00DC7004">
        <w:rPr>
          <w:rFonts w:asciiTheme="majorHAnsi" w:hAnsiTheme="majorHAnsi" w:cs="Arial"/>
          <w:b/>
          <w:sz w:val="24"/>
          <w:szCs w:val="24"/>
        </w:rPr>
        <w:t>Biológico</w:t>
      </w:r>
    </w:p>
    <w:p w14:paraId="1E014036" w14:textId="77777777" w:rsidR="004B7DF5" w:rsidRPr="00DC7004" w:rsidRDefault="004B7DF5" w:rsidP="00D101F3">
      <w:pPr>
        <w:spacing w:after="0" w:line="240" w:lineRule="auto"/>
        <w:jc w:val="both"/>
        <w:rPr>
          <w:rFonts w:asciiTheme="majorHAnsi" w:hAnsiTheme="majorHAnsi" w:cs="Arial"/>
          <w:sz w:val="24"/>
          <w:szCs w:val="24"/>
        </w:rPr>
      </w:pPr>
    </w:p>
    <w:p w14:paraId="39F34D81" w14:textId="5562FD7C" w:rsidR="00BD1802" w:rsidRPr="00DC7004" w:rsidRDefault="004B7DF5" w:rsidP="00D101F3">
      <w:pPr>
        <w:spacing w:after="0" w:line="240" w:lineRule="auto"/>
        <w:jc w:val="both"/>
        <w:rPr>
          <w:rFonts w:asciiTheme="majorHAnsi" w:hAnsiTheme="majorHAnsi" w:cs="Arial"/>
          <w:sz w:val="24"/>
          <w:szCs w:val="24"/>
        </w:rPr>
      </w:pPr>
      <w:r w:rsidRPr="00DC7004">
        <w:rPr>
          <w:rFonts w:asciiTheme="majorHAnsi" w:hAnsiTheme="majorHAnsi" w:cs="Arial"/>
          <w:sz w:val="24"/>
          <w:szCs w:val="24"/>
        </w:rPr>
        <w:t>Itagüí cuenta con una temperatura promedio entre los 21 y 26 °C, está ubicado a una alt</w:t>
      </w:r>
      <w:r w:rsidR="0046322A" w:rsidRPr="00DC7004">
        <w:rPr>
          <w:rFonts w:asciiTheme="majorHAnsi" w:hAnsiTheme="majorHAnsi" w:cs="Arial"/>
          <w:sz w:val="24"/>
          <w:szCs w:val="24"/>
        </w:rPr>
        <w:t xml:space="preserve">ura entre los 1590 y 2180 msnm y </w:t>
      </w:r>
      <w:r w:rsidRPr="00DC7004">
        <w:rPr>
          <w:rFonts w:asciiTheme="majorHAnsi" w:hAnsiTheme="majorHAnsi" w:cs="Arial"/>
          <w:sz w:val="24"/>
          <w:szCs w:val="24"/>
        </w:rPr>
        <w:t>su territorio está destinado pr</w:t>
      </w:r>
      <w:r w:rsidR="001C5AD4" w:rsidRPr="00DC7004">
        <w:rPr>
          <w:rFonts w:asciiTheme="majorHAnsi" w:hAnsiTheme="majorHAnsi" w:cs="Arial"/>
          <w:sz w:val="24"/>
          <w:szCs w:val="24"/>
        </w:rPr>
        <w:t xml:space="preserve">incipalmente a la urbanización. Estas </w:t>
      </w:r>
      <w:r w:rsidRPr="00DC7004">
        <w:rPr>
          <w:rFonts w:asciiTheme="majorHAnsi" w:hAnsiTheme="majorHAnsi" w:cs="Arial"/>
          <w:sz w:val="24"/>
          <w:szCs w:val="24"/>
        </w:rPr>
        <w:t>condiciones lo h</w:t>
      </w:r>
      <w:r w:rsidR="001C5AD4" w:rsidRPr="00DC7004">
        <w:rPr>
          <w:rFonts w:asciiTheme="majorHAnsi" w:hAnsiTheme="majorHAnsi" w:cs="Arial"/>
          <w:sz w:val="24"/>
          <w:szCs w:val="24"/>
        </w:rPr>
        <w:t>acen apto para el desarrollo de</w:t>
      </w:r>
      <w:r w:rsidRPr="00DC7004">
        <w:rPr>
          <w:rFonts w:asciiTheme="majorHAnsi" w:hAnsiTheme="majorHAnsi" w:cs="Arial"/>
          <w:sz w:val="24"/>
          <w:szCs w:val="24"/>
        </w:rPr>
        <w:t xml:space="preserve"> vectores como </w:t>
      </w:r>
      <w:r w:rsidRPr="00DC7004">
        <w:rPr>
          <w:rFonts w:asciiTheme="majorHAnsi" w:hAnsiTheme="majorHAnsi" w:cs="Arial"/>
          <w:i/>
          <w:sz w:val="24"/>
          <w:szCs w:val="24"/>
        </w:rPr>
        <w:t>Aedes</w:t>
      </w:r>
      <w:r w:rsidR="00337398" w:rsidRPr="00DC7004">
        <w:rPr>
          <w:rFonts w:asciiTheme="majorHAnsi" w:hAnsiTheme="majorHAnsi" w:cs="Arial"/>
          <w:i/>
          <w:sz w:val="24"/>
          <w:szCs w:val="24"/>
        </w:rPr>
        <w:t xml:space="preserve"> aegypti</w:t>
      </w:r>
      <w:r w:rsidRPr="00DC7004">
        <w:rPr>
          <w:rFonts w:asciiTheme="majorHAnsi" w:hAnsiTheme="majorHAnsi" w:cs="Arial"/>
          <w:sz w:val="24"/>
          <w:szCs w:val="24"/>
        </w:rPr>
        <w:t xml:space="preserve"> </w:t>
      </w:r>
      <w:r w:rsidR="00337398" w:rsidRPr="00DC7004">
        <w:rPr>
          <w:rFonts w:asciiTheme="majorHAnsi" w:hAnsiTheme="majorHAnsi" w:cs="Arial"/>
          <w:sz w:val="24"/>
          <w:szCs w:val="24"/>
        </w:rPr>
        <w:t>(vector transmisor de Dengue, C</w:t>
      </w:r>
      <w:r w:rsidRPr="00DC7004">
        <w:rPr>
          <w:rFonts w:asciiTheme="majorHAnsi" w:hAnsiTheme="majorHAnsi" w:cs="Arial"/>
          <w:sz w:val="24"/>
          <w:szCs w:val="24"/>
        </w:rPr>
        <w:t xml:space="preserve">hikunguña y </w:t>
      </w:r>
      <w:r w:rsidR="00DC7004" w:rsidRPr="00DC7004">
        <w:rPr>
          <w:rFonts w:asciiTheme="majorHAnsi" w:hAnsiTheme="majorHAnsi" w:cs="Arial"/>
          <w:sz w:val="24"/>
          <w:szCs w:val="24"/>
        </w:rPr>
        <w:t>Zika</w:t>
      </w:r>
      <w:r w:rsidR="00337398" w:rsidRPr="00DC7004">
        <w:rPr>
          <w:rFonts w:asciiTheme="majorHAnsi" w:hAnsiTheme="majorHAnsi" w:cs="Arial"/>
          <w:sz w:val="24"/>
          <w:szCs w:val="24"/>
        </w:rPr>
        <w:t>)</w:t>
      </w:r>
      <w:r w:rsidRPr="00DC7004">
        <w:rPr>
          <w:rFonts w:asciiTheme="majorHAnsi" w:hAnsiTheme="majorHAnsi" w:cs="Arial"/>
          <w:sz w:val="24"/>
          <w:szCs w:val="24"/>
        </w:rPr>
        <w:t xml:space="preserve">. </w:t>
      </w:r>
    </w:p>
    <w:p w14:paraId="5030CEB1" w14:textId="77777777" w:rsidR="00BD1802" w:rsidRPr="00DC7004" w:rsidRDefault="00BD1802" w:rsidP="00D101F3">
      <w:pPr>
        <w:spacing w:after="0" w:line="240" w:lineRule="auto"/>
        <w:jc w:val="both"/>
        <w:rPr>
          <w:rFonts w:asciiTheme="majorHAnsi" w:hAnsiTheme="majorHAnsi" w:cs="Arial"/>
          <w:sz w:val="24"/>
          <w:szCs w:val="24"/>
        </w:rPr>
      </w:pPr>
    </w:p>
    <w:p w14:paraId="570B69E7" w14:textId="77777777" w:rsidR="00BD1802" w:rsidRPr="00DC7004" w:rsidRDefault="004B7DF5" w:rsidP="00D101F3">
      <w:pPr>
        <w:spacing w:after="0" w:line="240" w:lineRule="auto"/>
        <w:jc w:val="both"/>
        <w:rPr>
          <w:rFonts w:asciiTheme="majorHAnsi" w:hAnsiTheme="majorHAnsi" w:cs="Arial"/>
          <w:sz w:val="24"/>
          <w:szCs w:val="24"/>
        </w:rPr>
      </w:pPr>
      <w:r w:rsidRPr="00DC7004">
        <w:rPr>
          <w:rFonts w:asciiTheme="majorHAnsi" w:hAnsiTheme="majorHAnsi" w:cs="Arial"/>
          <w:sz w:val="24"/>
          <w:szCs w:val="24"/>
        </w:rPr>
        <w:t>Según la Organización Mundial de la Salud (OMS), los vectores, son organismos vivos que pueden transmitir enfermedades infeccio</w:t>
      </w:r>
      <w:r w:rsidR="00BD1802" w:rsidRPr="00DC7004">
        <w:rPr>
          <w:rFonts w:asciiTheme="majorHAnsi" w:hAnsiTheme="majorHAnsi" w:cs="Arial"/>
          <w:sz w:val="24"/>
          <w:szCs w:val="24"/>
        </w:rPr>
        <w:t>sas</w:t>
      </w:r>
      <w:r w:rsidRPr="00DC7004">
        <w:rPr>
          <w:rFonts w:asciiTheme="majorHAnsi" w:hAnsiTheme="majorHAnsi" w:cs="Arial"/>
          <w:sz w:val="24"/>
          <w:szCs w:val="24"/>
        </w:rPr>
        <w:t xml:space="preserve"> entre personas, o de animales a </w:t>
      </w:r>
      <w:r w:rsidRPr="00DC7004">
        <w:rPr>
          <w:rFonts w:asciiTheme="majorHAnsi" w:hAnsiTheme="majorHAnsi" w:cs="Arial"/>
          <w:sz w:val="24"/>
          <w:szCs w:val="24"/>
        </w:rPr>
        <w:lastRenderedPageBreak/>
        <w:t>personas. La mayoría de vectores son insectos hematófagos con capacidad de inocular a un nuevo portador al ingerir su sangre.</w:t>
      </w:r>
    </w:p>
    <w:p w14:paraId="25E8097B" w14:textId="77777777" w:rsidR="00BD1802" w:rsidRPr="00DC7004" w:rsidRDefault="00BD1802" w:rsidP="00D101F3">
      <w:pPr>
        <w:spacing w:after="0" w:line="240" w:lineRule="auto"/>
        <w:jc w:val="both"/>
        <w:rPr>
          <w:rFonts w:asciiTheme="majorHAnsi" w:hAnsiTheme="majorHAnsi" w:cs="Arial"/>
          <w:sz w:val="24"/>
          <w:szCs w:val="24"/>
        </w:rPr>
      </w:pPr>
    </w:p>
    <w:p w14:paraId="75C742A3" w14:textId="45D96051" w:rsidR="005727E0" w:rsidRPr="00DC7004" w:rsidRDefault="004B7DF5" w:rsidP="00D101F3">
      <w:pPr>
        <w:spacing w:after="0" w:line="240" w:lineRule="auto"/>
        <w:jc w:val="both"/>
        <w:rPr>
          <w:rFonts w:asciiTheme="majorHAnsi" w:hAnsiTheme="majorHAnsi" w:cs="Arial"/>
          <w:sz w:val="24"/>
          <w:szCs w:val="24"/>
        </w:rPr>
      </w:pPr>
      <w:r w:rsidRPr="00DC7004">
        <w:rPr>
          <w:rFonts w:asciiTheme="majorHAnsi" w:hAnsiTheme="majorHAnsi" w:cs="Arial"/>
          <w:sz w:val="24"/>
          <w:szCs w:val="24"/>
        </w:rPr>
        <w:t xml:space="preserve">La vigilancia epidemiológica de </w:t>
      </w:r>
      <w:r w:rsidR="00BD1802" w:rsidRPr="00DC7004">
        <w:rPr>
          <w:rFonts w:asciiTheme="majorHAnsi" w:hAnsiTheme="majorHAnsi" w:cs="Arial"/>
          <w:sz w:val="24"/>
          <w:szCs w:val="24"/>
        </w:rPr>
        <w:t xml:space="preserve">estos </w:t>
      </w:r>
      <w:r w:rsidRPr="00DC7004">
        <w:rPr>
          <w:rFonts w:asciiTheme="majorHAnsi" w:hAnsiTheme="majorHAnsi" w:cs="Arial"/>
          <w:sz w:val="24"/>
          <w:szCs w:val="24"/>
        </w:rPr>
        <w:t xml:space="preserve">eventos, muestra que Itagüí es endémico para </w:t>
      </w:r>
      <w:r w:rsidR="00905944" w:rsidRPr="00DC7004">
        <w:rPr>
          <w:rFonts w:asciiTheme="majorHAnsi" w:hAnsiTheme="majorHAnsi" w:cs="Arial"/>
          <w:sz w:val="24"/>
          <w:szCs w:val="24"/>
        </w:rPr>
        <w:t xml:space="preserve">la presencia del vector, lo que se traduce en </w:t>
      </w:r>
      <w:r w:rsidRPr="00DC7004">
        <w:rPr>
          <w:rFonts w:asciiTheme="majorHAnsi" w:hAnsiTheme="majorHAnsi" w:cs="Arial"/>
          <w:sz w:val="24"/>
          <w:szCs w:val="24"/>
        </w:rPr>
        <w:t>alto riesgo de trasmisión de las enfermedades consecuentes, además</w:t>
      </w:r>
      <w:r w:rsidR="00EE5184" w:rsidRPr="00DC7004">
        <w:rPr>
          <w:rFonts w:asciiTheme="majorHAnsi" w:hAnsiTheme="majorHAnsi" w:cs="Arial"/>
          <w:sz w:val="24"/>
          <w:szCs w:val="24"/>
        </w:rPr>
        <w:t>,</w:t>
      </w:r>
      <w:r w:rsidRPr="00DC7004">
        <w:rPr>
          <w:rFonts w:asciiTheme="majorHAnsi" w:hAnsiTheme="majorHAnsi" w:cs="Arial"/>
          <w:sz w:val="24"/>
          <w:szCs w:val="24"/>
        </w:rPr>
        <w:t xml:space="preserve"> </w:t>
      </w:r>
      <w:r w:rsidR="00DB7AA5" w:rsidRPr="00DC7004">
        <w:rPr>
          <w:rFonts w:asciiTheme="majorHAnsi" w:hAnsiTheme="majorHAnsi" w:cs="Arial"/>
          <w:sz w:val="24"/>
          <w:szCs w:val="24"/>
        </w:rPr>
        <w:t xml:space="preserve">se suma la falta de sensibilización </w:t>
      </w:r>
      <w:r w:rsidR="005727E0" w:rsidRPr="00DC7004">
        <w:rPr>
          <w:rFonts w:asciiTheme="majorHAnsi" w:hAnsiTheme="majorHAnsi" w:cs="Arial"/>
          <w:sz w:val="24"/>
          <w:szCs w:val="24"/>
        </w:rPr>
        <w:t xml:space="preserve">hacia la prevención </w:t>
      </w:r>
      <w:r w:rsidR="000C464E" w:rsidRPr="00DC7004">
        <w:rPr>
          <w:rFonts w:asciiTheme="majorHAnsi" w:hAnsiTheme="majorHAnsi" w:cs="Arial"/>
          <w:sz w:val="24"/>
          <w:szCs w:val="24"/>
        </w:rPr>
        <w:t>por parte de las autoridades sanitarias a la comunidad itagüiseña</w:t>
      </w:r>
      <w:r w:rsidR="005727E0" w:rsidRPr="00DC7004">
        <w:rPr>
          <w:rFonts w:asciiTheme="majorHAnsi" w:hAnsiTheme="majorHAnsi" w:cs="Arial"/>
          <w:sz w:val="24"/>
          <w:szCs w:val="24"/>
        </w:rPr>
        <w:t>, convirtiéndose en un factor susceptible a riesgos para la salud pública.</w:t>
      </w:r>
    </w:p>
    <w:p w14:paraId="5821B047" w14:textId="77777777" w:rsidR="005727E0" w:rsidRPr="00DC7004" w:rsidRDefault="005727E0" w:rsidP="00D101F3">
      <w:pPr>
        <w:spacing w:after="0" w:line="240" w:lineRule="auto"/>
        <w:jc w:val="both"/>
        <w:rPr>
          <w:rFonts w:asciiTheme="majorHAnsi" w:hAnsiTheme="majorHAnsi" w:cs="Arial"/>
          <w:sz w:val="24"/>
          <w:szCs w:val="24"/>
        </w:rPr>
      </w:pPr>
    </w:p>
    <w:p w14:paraId="38356F07" w14:textId="1E071057" w:rsidR="004B7DF5" w:rsidRPr="00DC7004" w:rsidRDefault="004B7DF5" w:rsidP="00D101F3">
      <w:pPr>
        <w:spacing w:after="0" w:line="240" w:lineRule="auto"/>
        <w:jc w:val="both"/>
        <w:rPr>
          <w:rFonts w:asciiTheme="majorHAnsi" w:hAnsiTheme="majorHAnsi" w:cs="Arial"/>
          <w:sz w:val="24"/>
          <w:szCs w:val="24"/>
        </w:rPr>
      </w:pPr>
      <w:r w:rsidRPr="00DC7004">
        <w:rPr>
          <w:rFonts w:asciiTheme="majorHAnsi" w:hAnsiTheme="majorHAnsi" w:cs="Arial"/>
          <w:sz w:val="24"/>
          <w:szCs w:val="24"/>
        </w:rPr>
        <w:t xml:space="preserve">En cada conglomerado visitado se encontraron </w:t>
      </w:r>
      <w:r w:rsidR="007C5FF2" w:rsidRPr="00DC7004">
        <w:rPr>
          <w:rFonts w:asciiTheme="majorHAnsi" w:hAnsiTheme="majorHAnsi" w:cs="Arial"/>
          <w:sz w:val="24"/>
          <w:szCs w:val="24"/>
        </w:rPr>
        <w:t xml:space="preserve">depósitos artificiales para </w:t>
      </w:r>
      <w:r w:rsidR="007C5FF2" w:rsidRPr="00DC7004">
        <w:rPr>
          <w:rFonts w:asciiTheme="majorHAnsi" w:hAnsiTheme="majorHAnsi" w:cs="Arial"/>
          <w:i/>
          <w:sz w:val="24"/>
          <w:szCs w:val="24"/>
        </w:rPr>
        <w:t>A</w:t>
      </w:r>
      <w:r w:rsidR="00077A35" w:rsidRPr="00DC7004">
        <w:rPr>
          <w:rFonts w:asciiTheme="majorHAnsi" w:hAnsiTheme="majorHAnsi" w:cs="Arial"/>
          <w:i/>
          <w:sz w:val="24"/>
          <w:szCs w:val="24"/>
        </w:rPr>
        <w:t>edes a</w:t>
      </w:r>
      <w:r w:rsidR="00DB7AA5" w:rsidRPr="00DC7004">
        <w:rPr>
          <w:rFonts w:asciiTheme="majorHAnsi" w:hAnsiTheme="majorHAnsi" w:cs="Arial"/>
          <w:i/>
          <w:sz w:val="24"/>
          <w:szCs w:val="24"/>
        </w:rPr>
        <w:t>egypti</w:t>
      </w:r>
      <w:r w:rsidRPr="00DC7004">
        <w:rPr>
          <w:rFonts w:asciiTheme="majorHAnsi" w:hAnsiTheme="majorHAnsi" w:cs="Arial"/>
          <w:sz w:val="24"/>
          <w:szCs w:val="24"/>
        </w:rPr>
        <w:t xml:space="preserve">, </w:t>
      </w:r>
      <w:r w:rsidR="00077A35" w:rsidRPr="00DC7004">
        <w:rPr>
          <w:rFonts w:asciiTheme="majorHAnsi" w:hAnsiTheme="majorHAnsi" w:cs="Arial"/>
          <w:sz w:val="24"/>
          <w:szCs w:val="24"/>
        </w:rPr>
        <w:t>con predominancia en el sector de Las Margaritas, El Guayabo, Balcones de Sevilla y V</w:t>
      </w:r>
      <w:r w:rsidR="006B7EDE" w:rsidRPr="00DC7004">
        <w:rPr>
          <w:rFonts w:asciiTheme="majorHAnsi" w:hAnsiTheme="majorHAnsi" w:cs="Arial"/>
          <w:sz w:val="24"/>
          <w:szCs w:val="24"/>
        </w:rPr>
        <w:t>illaventura. Adicionalmente, se encontraron depósitos positivos en los sectores de El</w:t>
      </w:r>
      <w:r w:rsidRPr="00DC7004">
        <w:rPr>
          <w:rFonts w:asciiTheme="majorHAnsi" w:hAnsiTheme="majorHAnsi" w:cs="Arial"/>
          <w:sz w:val="24"/>
          <w:szCs w:val="24"/>
        </w:rPr>
        <w:t xml:space="preserve"> Rosario, Santa </w:t>
      </w:r>
      <w:r w:rsidR="002804F7" w:rsidRPr="00DC7004">
        <w:rPr>
          <w:rFonts w:asciiTheme="majorHAnsi" w:hAnsiTheme="majorHAnsi" w:cs="Arial"/>
          <w:sz w:val="24"/>
          <w:szCs w:val="24"/>
        </w:rPr>
        <w:t>María</w:t>
      </w:r>
      <w:r w:rsidR="006B7EDE" w:rsidRPr="00DC7004">
        <w:rPr>
          <w:rFonts w:asciiTheme="majorHAnsi" w:hAnsiTheme="majorHAnsi" w:cs="Arial"/>
          <w:sz w:val="24"/>
          <w:szCs w:val="24"/>
        </w:rPr>
        <w:t xml:space="preserve"> La Nueva y L</w:t>
      </w:r>
      <w:r w:rsidRPr="00DC7004">
        <w:rPr>
          <w:rFonts w:asciiTheme="majorHAnsi" w:hAnsiTheme="majorHAnsi" w:cs="Arial"/>
          <w:sz w:val="24"/>
          <w:szCs w:val="24"/>
        </w:rPr>
        <w:t xml:space="preserve">a Unión, </w:t>
      </w:r>
      <w:r w:rsidR="006B7EDE" w:rsidRPr="00DC7004">
        <w:rPr>
          <w:rFonts w:asciiTheme="majorHAnsi" w:hAnsiTheme="majorHAnsi" w:cs="Arial"/>
          <w:sz w:val="24"/>
          <w:szCs w:val="24"/>
        </w:rPr>
        <w:t>en concordancia</w:t>
      </w:r>
      <w:r w:rsidRPr="00DC7004">
        <w:rPr>
          <w:rFonts w:asciiTheme="majorHAnsi" w:hAnsiTheme="majorHAnsi" w:cs="Arial"/>
          <w:sz w:val="24"/>
          <w:szCs w:val="24"/>
        </w:rPr>
        <w:t xml:space="preserve"> con el histórico de casos </w:t>
      </w:r>
      <w:r w:rsidR="00E12B2E" w:rsidRPr="00DC7004">
        <w:rPr>
          <w:rFonts w:asciiTheme="majorHAnsi" w:hAnsiTheme="majorHAnsi" w:cs="Arial"/>
          <w:sz w:val="24"/>
          <w:szCs w:val="24"/>
        </w:rPr>
        <w:t>de D</w:t>
      </w:r>
      <w:r w:rsidRPr="00DC7004">
        <w:rPr>
          <w:rFonts w:asciiTheme="majorHAnsi" w:hAnsiTheme="majorHAnsi" w:cs="Arial"/>
          <w:sz w:val="24"/>
          <w:szCs w:val="24"/>
        </w:rPr>
        <w:t xml:space="preserve">engue, </w:t>
      </w:r>
      <w:r w:rsidR="00E12B2E" w:rsidRPr="00DC7004">
        <w:rPr>
          <w:rFonts w:asciiTheme="majorHAnsi" w:hAnsiTheme="majorHAnsi" w:cs="Arial"/>
          <w:sz w:val="24"/>
          <w:szCs w:val="24"/>
        </w:rPr>
        <w:t>con</w:t>
      </w:r>
      <w:r w:rsidRPr="00DC7004">
        <w:rPr>
          <w:rFonts w:asciiTheme="majorHAnsi" w:hAnsiTheme="majorHAnsi" w:cs="Arial"/>
          <w:sz w:val="24"/>
          <w:szCs w:val="24"/>
        </w:rPr>
        <w:t xml:space="preserve"> mayor incidencia en estos barrios. </w:t>
      </w:r>
    </w:p>
    <w:p w14:paraId="7611B9EE" w14:textId="77777777" w:rsidR="00C611EA" w:rsidRPr="00DC7004" w:rsidRDefault="00C611EA" w:rsidP="00D101F3">
      <w:pPr>
        <w:spacing w:after="0" w:line="240" w:lineRule="auto"/>
        <w:jc w:val="both"/>
        <w:rPr>
          <w:rFonts w:asciiTheme="majorHAnsi" w:hAnsiTheme="majorHAnsi" w:cs="Arial"/>
          <w:sz w:val="24"/>
          <w:szCs w:val="24"/>
        </w:rPr>
      </w:pPr>
    </w:p>
    <w:p w14:paraId="5BB9B192" w14:textId="2F43817F" w:rsidR="001D6847" w:rsidRPr="00DC7004" w:rsidRDefault="004B7DF5" w:rsidP="00D101F3">
      <w:pPr>
        <w:spacing w:after="0" w:line="240" w:lineRule="auto"/>
        <w:jc w:val="both"/>
        <w:rPr>
          <w:rFonts w:asciiTheme="majorHAnsi" w:hAnsiTheme="majorHAnsi" w:cs="Arial"/>
          <w:sz w:val="24"/>
          <w:szCs w:val="24"/>
        </w:rPr>
      </w:pPr>
      <w:r w:rsidRPr="00DC7004">
        <w:rPr>
          <w:rFonts w:asciiTheme="majorHAnsi" w:hAnsiTheme="majorHAnsi" w:cs="Arial"/>
          <w:sz w:val="24"/>
          <w:szCs w:val="24"/>
        </w:rPr>
        <w:t xml:space="preserve">La Rabia es </w:t>
      </w:r>
      <w:r w:rsidR="003D1EC8" w:rsidRPr="00DC7004">
        <w:rPr>
          <w:rFonts w:asciiTheme="majorHAnsi" w:hAnsiTheme="majorHAnsi" w:cs="Arial"/>
          <w:sz w:val="24"/>
          <w:szCs w:val="24"/>
        </w:rPr>
        <w:t>un virus neurotrópico</w:t>
      </w:r>
      <w:r w:rsidRPr="00DC7004">
        <w:rPr>
          <w:rFonts w:asciiTheme="majorHAnsi" w:hAnsiTheme="majorHAnsi" w:cs="Arial"/>
          <w:sz w:val="24"/>
          <w:szCs w:val="24"/>
        </w:rPr>
        <w:t xml:space="preserve"> del género </w:t>
      </w:r>
      <w:r w:rsidRPr="00DC7004">
        <w:rPr>
          <w:rFonts w:asciiTheme="majorHAnsi" w:hAnsiTheme="majorHAnsi" w:cs="Arial"/>
          <w:i/>
          <w:sz w:val="24"/>
          <w:szCs w:val="24"/>
        </w:rPr>
        <w:t>Lyssavirus</w:t>
      </w:r>
      <w:r w:rsidRPr="00DC7004">
        <w:rPr>
          <w:rFonts w:asciiTheme="majorHAnsi" w:hAnsiTheme="majorHAnsi" w:cs="Arial"/>
          <w:sz w:val="24"/>
          <w:szCs w:val="24"/>
        </w:rPr>
        <w:t xml:space="preserve"> que ocurre en dos formas epidemiológicas: La urbana con el perro como prin</w:t>
      </w:r>
      <w:r w:rsidR="001D6847" w:rsidRPr="00DC7004">
        <w:rPr>
          <w:rFonts w:asciiTheme="majorHAnsi" w:hAnsiTheme="majorHAnsi" w:cs="Arial"/>
          <w:sz w:val="24"/>
          <w:szCs w:val="24"/>
        </w:rPr>
        <w:t>cipal reservorio y transmisor y</w:t>
      </w:r>
      <w:r w:rsidRPr="00DC7004">
        <w:rPr>
          <w:rFonts w:asciiTheme="majorHAnsi" w:hAnsiTheme="majorHAnsi" w:cs="Arial"/>
          <w:sz w:val="24"/>
          <w:szCs w:val="24"/>
        </w:rPr>
        <w:t xml:space="preserve"> la silvestre con animales como los murciélagos hematófagos (</w:t>
      </w:r>
      <w:r w:rsidRPr="00DC7004">
        <w:rPr>
          <w:rFonts w:asciiTheme="majorHAnsi" w:hAnsiTheme="majorHAnsi" w:cs="Arial"/>
          <w:i/>
          <w:sz w:val="24"/>
          <w:szCs w:val="24"/>
        </w:rPr>
        <w:t>Desmodus rotundus</w:t>
      </w:r>
      <w:r w:rsidRPr="00DC7004">
        <w:rPr>
          <w:rFonts w:asciiTheme="majorHAnsi" w:hAnsiTheme="majorHAnsi" w:cs="Arial"/>
          <w:sz w:val="24"/>
          <w:szCs w:val="24"/>
        </w:rPr>
        <w:t xml:space="preserve">), zorros, lobos y gatos como reservorios y transmisores. </w:t>
      </w:r>
    </w:p>
    <w:p w14:paraId="4C8D4CA2" w14:textId="77777777" w:rsidR="001D6847" w:rsidRPr="00DC7004" w:rsidRDefault="001D6847" w:rsidP="00D101F3">
      <w:pPr>
        <w:spacing w:after="0" w:line="240" w:lineRule="auto"/>
        <w:jc w:val="both"/>
        <w:rPr>
          <w:rFonts w:asciiTheme="majorHAnsi" w:hAnsiTheme="majorHAnsi" w:cs="Arial"/>
          <w:sz w:val="24"/>
          <w:szCs w:val="24"/>
        </w:rPr>
      </w:pPr>
    </w:p>
    <w:p w14:paraId="149E8863" w14:textId="77777777" w:rsidR="00220572" w:rsidRPr="00DC7004" w:rsidRDefault="004B7DF5" w:rsidP="00D101F3">
      <w:pPr>
        <w:spacing w:after="0" w:line="240" w:lineRule="auto"/>
        <w:jc w:val="both"/>
        <w:rPr>
          <w:rFonts w:asciiTheme="majorHAnsi" w:hAnsiTheme="majorHAnsi" w:cs="Arial"/>
          <w:sz w:val="24"/>
          <w:szCs w:val="24"/>
        </w:rPr>
      </w:pPr>
      <w:r w:rsidRPr="00DC7004">
        <w:rPr>
          <w:rFonts w:asciiTheme="majorHAnsi" w:hAnsiTheme="majorHAnsi" w:cs="Arial"/>
          <w:sz w:val="24"/>
          <w:szCs w:val="24"/>
        </w:rPr>
        <w:t xml:space="preserve">Existen múltiples factores de riesgo que incrementan el riesgo de infección por este virus en el territorio nacional, estos factores hacen referencia la circulación del virus rábico en las distintas zonas del país, primordialmente boscosas y selváticas en donde habitan murciélagos y zorros, vectores importantes del virus, intermediación de los gatos que facilitan el paso del virus rábico silvestre a los demás animales e individuos de su entorno, actitudes y prácticas de la ciudadanía basadas en mitos y desconocimiento sobre la prevención, vigilancia y control de la rabia en animales y en humanos, bajas coberturas de vacunación antirrábica en perros y gatos. </w:t>
      </w:r>
    </w:p>
    <w:p w14:paraId="40072EAF" w14:textId="77777777" w:rsidR="00220572" w:rsidRPr="00DC7004" w:rsidRDefault="00220572" w:rsidP="00D101F3">
      <w:pPr>
        <w:spacing w:after="0" w:line="240" w:lineRule="auto"/>
        <w:jc w:val="both"/>
        <w:rPr>
          <w:rFonts w:asciiTheme="majorHAnsi" w:hAnsiTheme="majorHAnsi" w:cs="Arial"/>
          <w:sz w:val="24"/>
          <w:szCs w:val="24"/>
        </w:rPr>
      </w:pPr>
    </w:p>
    <w:p w14:paraId="1813FADB" w14:textId="24907E7E" w:rsidR="004B7DF5" w:rsidRPr="00DC7004" w:rsidRDefault="004B7DF5" w:rsidP="00D101F3">
      <w:pPr>
        <w:spacing w:after="0" w:line="240" w:lineRule="auto"/>
        <w:jc w:val="both"/>
        <w:rPr>
          <w:rFonts w:asciiTheme="majorHAnsi" w:hAnsiTheme="majorHAnsi" w:cs="Arial"/>
          <w:sz w:val="24"/>
          <w:szCs w:val="24"/>
        </w:rPr>
      </w:pPr>
      <w:r w:rsidRPr="00DC7004">
        <w:rPr>
          <w:rFonts w:asciiTheme="majorHAnsi" w:hAnsiTheme="majorHAnsi" w:cs="Arial"/>
          <w:sz w:val="24"/>
          <w:szCs w:val="24"/>
        </w:rPr>
        <w:t xml:space="preserve">Como mecanismo de prevención de aparición de rabia canina y humana, la Secretaría de Salud y Protección Social, </w:t>
      </w:r>
      <w:commentRangeStart w:id="1"/>
      <w:r w:rsidRPr="00DC7004">
        <w:rPr>
          <w:rFonts w:asciiTheme="majorHAnsi" w:hAnsiTheme="majorHAnsi" w:cs="Arial"/>
          <w:sz w:val="24"/>
          <w:szCs w:val="24"/>
        </w:rPr>
        <w:t xml:space="preserve">ejecuta jornadas de vacunación en todo el territorio tanto urbano como rural de Itagüí para inmunizar a las mascotas (caninos y felinos) contra este mortal virus, es así como se vacunaron </w:t>
      </w:r>
      <w:r w:rsidRPr="00DC7004">
        <w:rPr>
          <w:rFonts w:asciiTheme="majorHAnsi" w:hAnsiTheme="majorHAnsi" w:cs="Arial"/>
          <w:color w:val="FF0000"/>
          <w:sz w:val="24"/>
          <w:szCs w:val="24"/>
        </w:rPr>
        <w:t xml:space="preserve">10.002 </w:t>
      </w:r>
      <w:r w:rsidRPr="00DC7004">
        <w:rPr>
          <w:rFonts w:asciiTheme="majorHAnsi" w:hAnsiTheme="majorHAnsi" w:cs="Arial"/>
          <w:sz w:val="24"/>
          <w:szCs w:val="24"/>
        </w:rPr>
        <w:t xml:space="preserve">caninos y felinos en el año </w:t>
      </w:r>
      <w:r w:rsidRPr="00DC7004">
        <w:rPr>
          <w:rFonts w:asciiTheme="majorHAnsi" w:hAnsiTheme="majorHAnsi" w:cs="Arial"/>
          <w:color w:val="FF0000"/>
          <w:sz w:val="24"/>
          <w:szCs w:val="24"/>
        </w:rPr>
        <w:t>2019</w:t>
      </w:r>
      <w:r w:rsidRPr="00DC7004">
        <w:rPr>
          <w:rFonts w:asciiTheme="majorHAnsi" w:hAnsiTheme="majorHAnsi" w:cs="Arial"/>
          <w:sz w:val="24"/>
          <w:szCs w:val="24"/>
        </w:rPr>
        <w:t xml:space="preserve">, habiéndose programado </w:t>
      </w:r>
      <w:r w:rsidRPr="00DC7004">
        <w:rPr>
          <w:rFonts w:asciiTheme="majorHAnsi" w:hAnsiTheme="majorHAnsi" w:cs="Arial"/>
          <w:color w:val="FF0000"/>
          <w:sz w:val="24"/>
          <w:szCs w:val="24"/>
        </w:rPr>
        <w:t xml:space="preserve">10.000 </w:t>
      </w:r>
      <w:r w:rsidRPr="00DC7004">
        <w:rPr>
          <w:rFonts w:asciiTheme="majorHAnsi" w:hAnsiTheme="majorHAnsi" w:cs="Arial"/>
          <w:sz w:val="24"/>
          <w:szCs w:val="24"/>
        </w:rPr>
        <w:t>dosis de vacunas</w:t>
      </w:r>
      <w:commentRangeEnd w:id="1"/>
      <w:r w:rsidR="005D2B23" w:rsidRPr="00DC7004">
        <w:rPr>
          <w:rStyle w:val="Refdecomentario"/>
          <w:rFonts w:asciiTheme="majorHAnsi" w:hAnsiTheme="majorHAnsi"/>
        </w:rPr>
        <w:commentReference w:id="1"/>
      </w:r>
      <w:r w:rsidRPr="00DC7004">
        <w:rPr>
          <w:rFonts w:asciiTheme="majorHAnsi" w:hAnsiTheme="majorHAnsi" w:cs="Arial"/>
          <w:sz w:val="24"/>
          <w:szCs w:val="24"/>
        </w:rPr>
        <w:t xml:space="preserve">. Las rondas de vacunación se realizan casa a casa por los conglomerados del municipio de </w:t>
      </w:r>
      <w:r w:rsidR="00DC7004" w:rsidRPr="00DC7004">
        <w:rPr>
          <w:rFonts w:asciiTheme="majorHAnsi" w:hAnsiTheme="majorHAnsi" w:cs="Arial"/>
          <w:sz w:val="24"/>
          <w:szCs w:val="24"/>
        </w:rPr>
        <w:t>Itagüí</w:t>
      </w:r>
      <w:r w:rsidRPr="00DC7004">
        <w:rPr>
          <w:rFonts w:asciiTheme="majorHAnsi" w:hAnsiTheme="majorHAnsi" w:cs="Arial"/>
          <w:sz w:val="24"/>
          <w:szCs w:val="24"/>
        </w:rPr>
        <w:t xml:space="preserve">, además se programan jornadas en puntos físicos de manera periódica, con el fin de llegar a toda la población del municipio y derribar las barreras en vacunación que se puedan generar por el desplazamiento o distancias para las personas con menores recursos. En relación a los accidentes rábicos, se ha </w:t>
      </w:r>
      <w:r w:rsidRPr="00DC7004">
        <w:rPr>
          <w:rFonts w:asciiTheme="majorHAnsi" w:hAnsiTheme="majorHAnsi" w:cs="Arial"/>
          <w:sz w:val="24"/>
          <w:szCs w:val="24"/>
        </w:rPr>
        <w:lastRenderedPageBreak/>
        <w:t>hecho el seguimiento epidemiológico oportuno de los eventos reportados, de los que se ha descartado la presencia del virus de la rabia.</w:t>
      </w:r>
    </w:p>
    <w:p w14:paraId="51E98665" w14:textId="77777777" w:rsidR="00F9671A" w:rsidRPr="00DC7004" w:rsidRDefault="00F9671A" w:rsidP="00F9671A">
      <w:pPr>
        <w:spacing w:after="0" w:line="240" w:lineRule="auto"/>
        <w:jc w:val="both"/>
        <w:rPr>
          <w:rFonts w:asciiTheme="majorHAnsi" w:hAnsiTheme="majorHAnsi" w:cs="Arial"/>
          <w:sz w:val="24"/>
          <w:szCs w:val="24"/>
        </w:rPr>
      </w:pPr>
    </w:p>
    <w:p w14:paraId="31090EEA" w14:textId="18BF722B" w:rsidR="004B7DF5" w:rsidRPr="00DC7004" w:rsidRDefault="004B7DF5" w:rsidP="00F9671A">
      <w:pPr>
        <w:spacing w:after="0" w:line="240" w:lineRule="auto"/>
        <w:jc w:val="both"/>
        <w:rPr>
          <w:rFonts w:asciiTheme="majorHAnsi" w:hAnsiTheme="majorHAnsi" w:cs="Arial"/>
          <w:b/>
          <w:sz w:val="24"/>
          <w:szCs w:val="24"/>
        </w:rPr>
      </w:pPr>
      <w:r w:rsidRPr="00DC7004">
        <w:rPr>
          <w:rFonts w:asciiTheme="majorHAnsi" w:hAnsiTheme="majorHAnsi" w:cs="Arial"/>
          <w:b/>
          <w:sz w:val="24"/>
          <w:szCs w:val="24"/>
        </w:rPr>
        <w:t xml:space="preserve">Riesgo </w:t>
      </w:r>
      <w:r w:rsidR="006F76B0" w:rsidRPr="00DC7004">
        <w:rPr>
          <w:rFonts w:asciiTheme="majorHAnsi" w:hAnsiTheme="majorHAnsi" w:cs="Arial"/>
          <w:b/>
          <w:sz w:val="24"/>
          <w:szCs w:val="24"/>
        </w:rPr>
        <w:t>Químico</w:t>
      </w:r>
    </w:p>
    <w:p w14:paraId="0239F175" w14:textId="77777777" w:rsidR="004B7DF5" w:rsidRPr="00DC7004" w:rsidRDefault="004B7DF5" w:rsidP="00F9671A">
      <w:pPr>
        <w:spacing w:after="0" w:line="240" w:lineRule="auto"/>
        <w:jc w:val="both"/>
        <w:rPr>
          <w:rFonts w:asciiTheme="majorHAnsi" w:hAnsiTheme="majorHAnsi" w:cs="Arial"/>
          <w:sz w:val="24"/>
          <w:szCs w:val="24"/>
        </w:rPr>
      </w:pPr>
    </w:p>
    <w:p w14:paraId="48304A9A" w14:textId="77777777" w:rsidR="004B7DF5" w:rsidRPr="00DC7004" w:rsidRDefault="004B7DF5" w:rsidP="004B7DF5">
      <w:pPr>
        <w:spacing w:after="0" w:line="240" w:lineRule="auto"/>
        <w:jc w:val="both"/>
        <w:rPr>
          <w:rFonts w:asciiTheme="majorHAnsi" w:hAnsiTheme="majorHAnsi" w:cs="Arial"/>
          <w:sz w:val="24"/>
          <w:szCs w:val="24"/>
        </w:rPr>
      </w:pPr>
    </w:p>
    <w:p w14:paraId="46F0BBA5" w14:textId="0056FEC7" w:rsidR="004B7DF5" w:rsidRPr="00DC7004" w:rsidRDefault="004B7DF5" w:rsidP="004B7DF5">
      <w:pPr>
        <w:spacing w:after="0" w:line="240" w:lineRule="auto"/>
        <w:jc w:val="both"/>
        <w:rPr>
          <w:rFonts w:asciiTheme="majorHAnsi" w:hAnsiTheme="majorHAnsi" w:cs="Arial"/>
          <w:sz w:val="24"/>
          <w:szCs w:val="24"/>
        </w:rPr>
      </w:pPr>
      <w:r w:rsidRPr="00DC7004">
        <w:rPr>
          <w:rFonts w:asciiTheme="majorHAnsi" w:hAnsiTheme="majorHAnsi" w:cs="Arial"/>
          <w:sz w:val="24"/>
          <w:szCs w:val="24"/>
        </w:rPr>
        <w:t xml:space="preserve">Itagüí se caracteriza por ser un territorio de gran presencia comercial e industrial, situación que además de favorecer al municipio en el desarrollo económico implica mayor monitoreo de los factores de riesgo tales como contaminación ambiental (generación de partículas contaminantes al aire, químicos, a las aguas o al suelo, contaminación auditiva), deficientes condiciones higiénicas sanitarias en algunos establecimientos dedicados al almacenamiento, expendio y transporte de alimentos y demás actividades industriales y comerciales de la ciudad de Itagüí. El control de estos factores de riesgos es responsabilidad de la </w:t>
      </w:r>
      <w:r w:rsidR="002276A8" w:rsidRPr="00DC7004">
        <w:rPr>
          <w:rFonts w:asciiTheme="majorHAnsi" w:hAnsiTheme="majorHAnsi" w:cs="Arial"/>
          <w:sz w:val="24"/>
          <w:szCs w:val="24"/>
        </w:rPr>
        <w:t>administración</w:t>
      </w:r>
      <w:r w:rsidRPr="00DC7004">
        <w:rPr>
          <w:rFonts w:asciiTheme="majorHAnsi" w:hAnsiTheme="majorHAnsi" w:cs="Arial"/>
          <w:sz w:val="24"/>
          <w:szCs w:val="24"/>
        </w:rPr>
        <w:t xml:space="preserve"> municipal, de las empresas y/o establecimientos que se dedican a actividades industriales que utilicen materias primas que puedan generar perjuicio a sus empleados y la comunidad en general, y finalmente de las autoridades ambientales y policivas correspondientes.</w:t>
      </w:r>
    </w:p>
    <w:p w14:paraId="6E83C105" w14:textId="77777777" w:rsidR="002276A8" w:rsidRPr="00DC7004" w:rsidRDefault="002276A8" w:rsidP="004B7DF5">
      <w:pPr>
        <w:spacing w:after="0" w:line="240" w:lineRule="auto"/>
        <w:jc w:val="both"/>
        <w:rPr>
          <w:rFonts w:asciiTheme="majorHAnsi" w:hAnsiTheme="majorHAnsi" w:cs="Arial"/>
          <w:sz w:val="24"/>
          <w:szCs w:val="24"/>
        </w:rPr>
      </w:pPr>
    </w:p>
    <w:p w14:paraId="06D5BA0B" w14:textId="0D3A67CF" w:rsidR="00F9671A" w:rsidRPr="00DC7004" w:rsidRDefault="00C95A57" w:rsidP="00F9671A">
      <w:pPr>
        <w:spacing w:after="0" w:line="240" w:lineRule="auto"/>
        <w:jc w:val="both"/>
        <w:rPr>
          <w:rFonts w:asciiTheme="majorHAnsi" w:hAnsiTheme="majorHAnsi" w:cs="Arial"/>
          <w:b/>
          <w:sz w:val="24"/>
          <w:szCs w:val="24"/>
        </w:rPr>
      </w:pPr>
      <w:r w:rsidRPr="00DC7004">
        <w:rPr>
          <w:rFonts w:asciiTheme="majorHAnsi" w:hAnsiTheme="majorHAnsi" w:cs="Arial"/>
          <w:b/>
          <w:sz w:val="24"/>
          <w:szCs w:val="24"/>
        </w:rPr>
        <w:t>Adaptación</w:t>
      </w:r>
      <w:r w:rsidR="008E7B8B" w:rsidRPr="00DC7004">
        <w:rPr>
          <w:rFonts w:asciiTheme="majorHAnsi" w:hAnsiTheme="majorHAnsi" w:cs="Arial"/>
          <w:b/>
          <w:sz w:val="24"/>
          <w:szCs w:val="24"/>
        </w:rPr>
        <w:t xml:space="preserve"> e implementación de políticas nacionales</w:t>
      </w:r>
    </w:p>
    <w:p w14:paraId="4D7239AC" w14:textId="77777777" w:rsidR="008E7B8B" w:rsidRPr="00DC7004" w:rsidRDefault="008E7B8B" w:rsidP="00F9671A">
      <w:pPr>
        <w:spacing w:after="0" w:line="240" w:lineRule="auto"/>
        <w:jc w:val="both"/>
        <w:rPr>
          <w:rFonts w:asciiTheme="majorHAnsi" w:hAnsiTheme="majorHAnsi" w:cs="Arial"/>
          <w:sz w:val="24"/>
          <w:szCs w:val="24"/>
        </w:rPr>
      </w:pPr>
    </w:p>
    <w:p w14:paraId="5C85AFC1" w14:textId="4A40CCBD" w:rsidR="008E7B8B" w:rsidRPr="00DC7004" w:rsidRDefault="008E7B8B" w:rsidP="00F9671A">
      <w:pPr>
        <w:spacing w:after="0" w:line="240" w:lineRule="auto"/>
        <w:jc w:val="both"/>
        <w:rPr>
          <w:rFonts w:asciiTheme="majorHAnsi" w:hAnsiTheme="majorHAnsi" w:cs="Arial"/>
          <w:sz w:val="24"/>
          <w:szCs w:val="24"/>
        </w:rPr>
      </w:pPr>
      <w:r w:rsidRPr="00DC7004">
        <w:rPr>
          <w:rFonts w:asciiTheme="majorHAnsi" w:hAnsiTheme="majorHAnsi" w:cs="Arial"/>
          <w:sz w:val="24"/>
          <w:szCs w:val="24"/>
        </w:rPr>
        <w:t xml:space="preserve">La Secretaría de Salud y Protección Social tiene </w:t>
      </w:r>
      <w:r w:rsidR="00C95A57" w:rsidRPr="00DC7004">
        <w:rPr>
          <w:rFonts w:asciiTheme="majorHAnsi" w:hAnsiTheme="majorHAnsi" w:cs="Arial"/>
          <w:sz w:val="24"/>
          <w:szCs w:val="24"/>
        </w:rPr>
        <w:t>participación</w:t>
      </w:r>
      <w:r w:rsidRPr="00DC7004">
        <w:rPr>
          <w:rFonts w:asciiTheme="majorHAnsi" w:hAnsiTheme="majorHAnsi" w:cs="Arial"/>
          <w:sz w:val="24"/>
          <w:szCs w:val="24"/>
        </w:rPr>
        <w:t xml:space="preserve"> en el Plan Integral de </w:t>
      </w:r>
      <w:r w:rsidR="00C95A57" w:rsidRPr="00DC7004">
        <w:rPr>
          <w:rFonts w:asciiTheme="majorHAnsi" w:hAnsiTheme="majorHAnsi" w:cs="Arial"/>
          <w:sz w:val="24"/>
          <w:szCs w:val="24"/>
        </w:rPr>
        <w:t>Gestión</w:t>
      </w:r>
      <w:r w:rsidRPr="00DC7004">
        <w:rPr>
          <w:rFonts w:asciiTheme="majorHAnsi" w:hAnsiTheme="majorHAnsi" w:cs="Arial"/>
          <w:sz w:val="24"/>
          <w:szCs w:val="24"/>
        </w:rPr>
        <w:t xml:space="preserve"> de la Calidad el Aire - PIGECA- y su Plan Operacional para enfrentar Episodios de Contaminación Atmosférica en el Área Metropolitana del Vallé de Aburrá - POECA- coordinado por el </w:t>
      </w:r>
      <w:r w:rsidR="00C95A57" w:rsidRPr="00DC7004">
        <w:rPr>
          <w:rFonts w:asciiTheme="majorHAnsi" w:hAnsiTheme="majorHAnsi" w:cs="Arial"/>
          <w:sz w:val="24"/>
          <w:szCs w:val="24"/>
        </w:rPr>
        <w:t>Área</w:t>
      </w:r>
      <w:r w:rsidRPr="00DC7004">
        <w:rPr>
          <w:rFonts w:asciiTheme="majorHAnsi" w:hAnsiTheme="majorHAnsi" w:cs="Arial"/>
          <w:sz w:val="24"/>
          <w:szCs w:val="24"/>
        </w:rPr>
        <w:t xml:space="preserve"> Metropolitana del valle del Aburra; en  la Sala Especializada de Piscinas y Estructuras Similares del Departamento de Antioquia - SEPISA; </w:t>
      </w:r>
      <w:r w:rsidR="00E0009A" w:rsidRPr="00DC7004">
        <w:rPr>
          <w:rFonts w:asciiTheme="majorHAnsi" w:hAnsiTheme="majorHAnsi" w:cs="Arial"/>
          <w:sz w:val="24"/>
          <w:szCs w:val="24"/>
        </w:rPr>
        <w:t xml:space="preserve">Secretaria Seccional de Salud y Protección Social de Antioquia, </w:t>
      </w:r>
      <w:r w:rsidRPr="00DC7004">
        <w:rPr>
          <w:rFonts w:asciiTheme="majorHAnsi" w:hAnsiTheme="majorHAnsi" w:cs="Arial"/>
          <w:sz w:val="24"/>
          <w:szCs w:val="24"/>
        </w:rPr>
        <w:t xml:space="preserve">Mesa de Trabajo Aire-Ruido. </w:t>
      </w:r>
      <w:r w:rsidR="00C95A57" w:rsidRPr="00DC7004">
        <w:rPr>
          <w:rFonts w:asciiTheme="majorHAnsi" w:hAnsiTheme="majorHAnsi" w:cs="Arial"/>
          <w:sz w:val="24"/>
          <w:szCs w:val="24"/>
        </w:rPr>
        <w:t>Participación</w:t>
      </w:r>
      <w:r w:rsidRPr="00DC7004">
        <w:rPr>
          <w:rFonts w:asciiTheme="majorHAnsi" w:hAnsiTheme="majorHAnsi" w:cs="Arial"/>
          <w:sz w:val="24"/>
          <w:szCs w:val="24"/>
        </w:rPr>
        <w:t xml:space="preserve"> en capacitaciones y encuentros Programados por el Institu</w:t>
      </w:r>
      <w:r w:rsidR="00C95A57" w:rsidRPr="00DC7004">
        <w:rPr>
          <w:rFonts w:asciiTheme="majorHAnsi" w:hAnsiTheme="majorHAnsi" w:cs="Arial"/>
          <w:sz w:val="24"/>
          <w:szCs w:val="24"/>
        </w:rPr>
        <w:t>t</w:t>
      </w:r>
      <w:r w:rsidRPr="00DC7004">
        <w:rPr>
          <w:rFonts w:asciiTheme="majorHAnsi" w:hAnsiTheme="majorHAnsi" w:cs="Arial"/>
          <w:sz w:val="24"/>
          <w:szCs w:val="24"/>
        </w:rPr>
        <w:t xml:space="preserve">o Nacional de Vigilancia de Medicamentos y Alimentos - INVIMA en temas de </w:t>
      </w:r>
      <w:r w:rsidR="00194BD6" w:rsidRPr="00DC7004">
        <w:rPr>
          <w:rFonts w:asciiTheme="majorHAnsi" w:hAnsiTheme="majorHAnsi" w:cs="Arial"/>
          <w:sz w:val="24"/>
          <w:szCs w:val="24"/>
        </w:rPr>
        <w:t>Inspección</w:t>
      </w:r>
      <w:r w:rsidRPr="00DC7004">
        <w:rPr>
          <w:rFonts w:asciiTheme="majorHAnsi" w:hAnsiTheme="majorHAnsi" w:cs="Arial"/>
          <w:sz w:val="24"/>
          <w:szCs w:val="24"/>
        </w:rPr>
        <w:t xml:space="preserve">, Vigilancia y Control de los factores de riesgos asociados al consumo de alimentos y bebidas. Estos espacios de </w:t>
      </w:r>
      <w:r w:rsidR="00E0009A" w:rsidRPr="00DC7004">
        <w:rPr>
          <w:rFonts w:asciiTheme="majorHAnsi" w:hAnsiTheme="majorHAnsi" w:cs="Arial"/>
          <w:sz w:val="24"/>
          <w:szCs w:val="24"/>
        </w:rPr>
        <w:t>participación</w:t>
      </w:r>
      <w:r w:rsidRPr="00DC7004">
        <w:rPr>
          <w:rFonts w:asciiTheme="majorHAnsi" w:hAnsiTheme="majorHAnsi" w:cs="Arial"/>
          <w:sz w:val="24"/>
          <w:szCs w:val="24"/>
        </w:rPr>
        <w:t xml:space="preserve"> son importantes para la </w:t>
      </w:r>
      <w:r w:rsidR="00194BD6" w:rsidRPr="00DC7004">
        <w:rPr>
          <w:rFonts w:asciiTheme="majorHAnsi" w:hAnsiTheme="majorHAnsi" w:cs="Arial"/>
          <w:sz w:val="24"/>
          <w:szCs w:val="24"/>
        </w:rPr>
        <w:t>actualización</w:t>
      </w:r>
      <w:r w:rsidRPr="00DC7004">
        <w:rPr>
          <w:rFonts w:asciiTheme="majorHAnsi" w:hAnsiTheme="majorHAnsi" w:cs="Arial"/>
          <w:sz w:val="24"/>
          <w:szCs w:val="24"/>
        </w:rPr>
        <w:t xml:space="preserve"> e intercambio de con</w:t>
      </w:r>
      <w:r w:rsidR="00E0009A" w:rsidRPr="00DC7004">
        <w:rPr>
          <w:rFonts w:asciiTheme="majorHAnsi" w:hAnsiTheme="majorHAnsi" w:cs="Arial"/>
          <w:sz w:val="24"/>
          <w:szCs w:val="24"/>
        </w:rPr>
        <w:t>o</w:t>
      </w:r>
      <w:r w:rsidRPr="00DC7004">
        <w:rPr>
          <w:rFonts w:asciiTheme="majorHAnsi" w:hAnsiTheme="majorHAnsi" w:cs="Arial"/>
          <w:sz w:val="24"/>
          <w:szCs w:val="24"/>
        </w:rPr>
        <w:t xml:space="preserve">cimientos y experiencia, con otras instituciones, </w:t>
      </w:r>
      <w:r w:rsidR="00194BD6" w:rsidRPr="00DC7004">
        <w:rPr>
          <w:rFonts w:asciiTheme="majorHAnsi" w:hAnsiTheme="majorHAnsi" w:cs="Arial"/>
          <w:sz w:val="24"/>
          <w:szCs w:val="24"/>
        </w:rPr>
        <w:t>además</w:t>
      </w:r>
      <w:r w:rsidRPr="00DC7004">
        <w:rPr>
          <w:rFonts w:asciiTheme="majorHAnsi" w:hAnsiTheme="majorHAnsi" w:cs="Arial"/>
          <w:sz w:val="24"/>
          <w:szCs w:val="24"/>
        </w:rPr>
        <w:t xml:space="preserve"> de actualizarse sobre los nuevos requerimientos normativos para los </w:t>
      </w:r>
      <w:r w:rsidR="00194BD6" w:rsidRPr="00DC7004">
        <w:rPr>
          <w:rFonts w:asciiTheme="majorHAnsi" w:hAnsiTheme="majorHAnsi" w:cs="Arial"/>
          <w:sz w:val="24"/>
          <w:szCs w:val="24"/>
        </w:rPr>
        <w:t>diferentes</w:t>
      </w:r>
      <w:r w:rsidRPr="00DC7004">
        <w:rPr>
          <w:rFonts w:asciiTheme="majorHAnsi" w:hAnsiTheme="majorHAnsi" w:cs="Arial"/>
          <w:sz w:val="24"/>
          <w:szCs w:val="24"/>
        </w:rPr>
        <w:t xml:space="preserve"> sujetos objeto de </w:t>
      </w:r>
      <w:r w:rsidR="00194BD6" w:rsidRPr="00DC7004">
        <w:rPr>
          <w:rFonts w:asciiTheme="majorHAnsi" w:hAnsiTheme="majorHAnsi" w:cs="Arial"/>
          <w:sz w:val="24"/>
          <w:szCs w:val="24"/>
        </w:rPr>
        <w:t>Inspección</w:t>
      </w:r>
      <w:r w:rsidRPr="00DC7004">
        <w:rPr>
          <w:rFonts w:asciiTheme="majorHAnsi" w:hAnsiTheme="majorHAnsi" w:cs="Arial"/>
          <w:sz w:val="24"/>
          <w:szCs w:val="24"/>
        </w:rPr>
        <w:t xml:space="preserve">, Vigilancia y Control por parte de la </w:t>
      </w:r>
      <w:r w:rsidR="003274A5" w:rsidRPr="00DC7004">
        <w:rPr>
          <w:rFonts w:asciiTheme="majorHAnsi" w:hAnsiTheme="majorHAnsi" w:cs="Arial"/>
          <w:sz w:val="24"/>
          <w:szCs w:val="24"/>
        </w:rPr>
        <w:t xml:space="preserve">Secretaria </w:t>
      </w:r>
      <w:r w:rsidRPr="00DC7004">
        <w:rPr>
          <w:rFonts w:asciiTheme="majorHAnsi" w:hAnsiTheme="majorHAnsi" w:cs="Arial"/>
          <w:sz w:val="24"/>
          <w:szCs w:val="24"/>
        </w:rPr>
        <w:t xml:space="preserve">de </w:t>
      </w:r>
      <w:r w:rsidR="003274A5" w:rsidRPr="00DC7004">
        <w:rPr>
          <w:rFonts w:asciiTheme="majorHAnsi" w:hAnsiTheme="majorHAnsi" w:cs="Arial"/>
          <w:sz w:val="24"/>
          <w:szCs w:val="24"/>
        </w:rPr>
        <w:t xml:space="preserve">Salud </w:t>
      </w:r>
      <w:r w:rsidRPr="00DC7004">
        <w:rPr>
          <w:rFonts w:asciiTheme="majorHAnsi" w:hAnsiTheme="majorHAnsi" w:cs="Arial"/>
          <w:sz w:val="24"/>
          <w:szCs w:val="24"/>
        </w:rPr>
        <w:t xml:space="preserve">y </w:t>
      </w:r>
      <w:r w:rsidR="003274A5" w:rsidRPr="00DC7004">
        <w:rPr>
          <w:rFonts w:asciiTheme="majorHAnsi" w:hAnsiTheme="majorHAnsi" w:cs="Arial"/>
          <w:sz w:val="24"/>
          <w:szCs w:val="24"/>
        </w:rPr>
        <w:t>Protección Social</w:t>
      </w:r>
      <w:r w:rsidRPr="00DC7004">
        <w:rPr>
          <w:rFonts w:asciiTheme="majorHAnsi" w:hAnsiTheme="majorHAnsi" w:cs="Arial"/>
          <w:sz w:val="24"/>
          <w:szCs w:val="24"/>
        </w:rPr>
        <w:t>.</w:t>
      </w:r>
    </w:p>
    <w:p w14:paraId="32FB58FC" w14:textId="77777777" w:rsidR="003274A5" w:rsidRPr="00DC7004" w:rsidRDefault="003274A5" w:rsidP="00F9671A">
      <w:pPr>
        <w:spacing w:after="0" w:line="240" w:lineRule="auto"/>
        <w:jc w:val="both"/>
        <w:rPr>
          <w:rFonts w:asciiTheme="majorHAnsi" w:hAnsiTheme="majorHAnsi" w:cs="Arial"/>
          <w:sz w:val="24"/>
          <w:szCs w:val="24"/>
        </w:rPr>
      </w:pPr>
    </w:p>
    <w:p w14:paraId="6F918BB8" w14:textId="5BE1F43F" w:rsidR="003274A5" w:rsidRPr="00DC7004" w:rsidRDefault="003274A5" w:rsidP="00F9671A">
      <w:pPr>
        <w:spacing w:after="0" w:line="240" w:lineRule="auto"/>
        <w:jc w:val="both"/>
        <w:rPr>
          <w:rFonts w:asciiTheme="majorHAnsi" w:hAnsiTheme="majorHAnsi" w:cs="Arial"/>
          <w:b/>
          <w:sz w:val="24"/>
          <w:szCs w:val="24"/>
        </w:rPr>
      </w:pPr>
      <w:r w:rsidRPr="00DC7004">
        <w:rPr>
          <w:rFonts w:asciiTheme="majorHAnsi" w:hAnsiTheme="majorHAnsi" w:cs="Arial"/>
          <w:b/>
          <w:sz w:val="24"/>
          <w:szCs w:val="24"/>
        </w:rPr>
        <w:t>Conclusiones</w:t>
      </w:r>
    </w:p>
    <w:p w14:paraId="3CCE92C9" w14:textId="77777777" w:rsidR="003274A5" w:rsidRPr="00DC7004" w:rsidRDefault="003274A5" w:rsidP="00F9671A">
      <w:pPr>
        <w:spacing w:after="0" w:line="240" w:lineRule="auto"/>
        <w:jc w:val="both"/>
        <w:rPr>
          <w:rFonts w:asciiTheme="majorHAnsi" w:hAnsiTheme="majorHAnsi" w:cs="Arial"/>
          <w:sz w:val="24"/>
          <w:szCs w:val="24"/>
        </w:rPr>
      </w:pPr>
    </w:p>
    <w:p w14:paraId="1DCEE04E" w14:textId="0D28D544" w:rsidR="00911B04" w:rsidRPr="00DC7004" w:rsidRDefault="00911B04" w:rsidP="00F9671A">
      <w:pPr>
        <w:spacing w:after="0" w:line="240" w:lineRule="auto"/>
        <w:jc w:val="both"/>
        <w:rPr>
          <w:rFonts w:asciiTheme="majorHAnsi" w:hAnsiTheme="majorHAnsi" w:cs="Arial"/>
          <w:sz w:val="24"/>
          <w:szCs w:val="24"/>
        </w:rPr>
      </w:pPr>
      <w:r w:rsidRPr="00DC7004">
        <w:rPr>
          <w:rFonts w:asciiTheme="majorHAnsi" w:hAnsiTheme="majorHAnsi" w:cs="Arial"/>
          <w:sz w:val="24"/>
          <w:szCs w:val="24"/>
        </w:rPr>
        <w:t xml:space="preserve">El área de factores de riesgos en salud </w:t>
      </w:r>
      <w:r w:rsidR="00780718" w:rsidRPr="00DC7004">
        <w:rPr>
          <w:rFonts w:asciiTheme="majorHAnsi" w:hAnsiTheme="majorHAnsi" w:cs="Arial"/>
          <w:sz w:val="24"/>
          <w:szCs w:val="24"/>
        </w:rPr>
        <w:t xml:space="preserve">debido a su razón de ser tiene un alto impacto sobre </w:t>
      </w:r>
      <w:r w:rsidR="00ED5C26" w:rsidRPr="00DC7004">
        <w:rPr>
          <w:rFonts w:asciiTheme="majorHAnsi" w:hAnsiTheme="majorHAnsi" w:cs="Arial"/>
          <w:sz w:val="24"/>
          <w:szCs w:val="24"/>
        </w:rPr>
        <w:t xml:space="preserve">la población </w:t>
      </w:r>
      <w:r w:rsidR="00DC7004" w:rsidRPr="00DC7004">
        <w:rPr>
          <w:rFonts w:asciiTheme="majorHAnsi" w:hAnsiTheme="majorHAnsi" w:cs="Arial"/>
          <w:sz w:val="24"/>
          <w:szCs w:val="24"/>
        </w:rPr>
        <w:t>Itagüiseña</w:t>
      </w:r>
      <w:r w:rsidR="00780718" w:rsidRPr="00DC7004">
        <w:rPr>
          <w:rFonts w:asciiTheme="majorHAnsi" w:hAnsiTheme="majorHAnsi" w:cs="Arial"/>
          <w:sz w:val="24"/>
          <w:szCs w:val="24"/>
        </w:rPr>
        <w:t xml:space="preserve"> debido a que está encargada de velar p</w:t>
      </w:r>
      <w:r w:rsidR="00ED5C26" w:rsidRPr="00DC7004">
        <w:rPr>
          <w:rFonts w:asciiTheme="majorHAnsi" w:hAnsiTheme="majorHAnsi" w:cs="Arial"/>
          <w:sz w:val="24"/>
          <w:szCs w:val="24"/>
        </w:rPr>
        <w:t>or el bienestar de la comunidad</w:t>
      </w:r>
      <w:r w:rsidR="00FB16B6" w:rsidRPr="00DC7004">
        <w:rPr>
          <w:rFonts w:asciiTheme="majorHAnsi" w:hAnsiTheme="majorHAnsi" w:cs="Arial"/>
          <w:sz w:val="24"/>
          <w:szCs w:val="24"/>
        </w:rPr>
        <w:t>, con actividades que van en pro de la promoción y</w:t>
      </w:r>
      <w:r w:rsidR="00A11FFC" w:rsidRPr="00DC7004">
        <w:rPr>
          <w:rFonts w:asciiTheme="majorHAnsi" w:hAnsiTheme="majorHAnsi" w:cs="Arial"/>
          <w:sz w:val="24"/>
          <w:szCs w:val="24"/>
        </w:rPr>
        <w:t>/o</w:t>
      </w:r>
      <w:r w:rsidR="00FB16B6" w:rsidRPr="00DC7004">
        <w:rPr>
          <w:rFonts w:asciiTheme="majorHAnsi" w:hAnsiTheme="majorHAnsi" w:cs="Arial"/>
          <w:sz w:val="24"/>
          <w:szCs w:val="24"/>
        </w:rPr>
        <w:t xml:space="preserve"> prevención de:</w:t>
      </w:r>
    </w:p>
    <w:p w14:paraId="6C108E22" w14:textId="77777777" w:rsidR="00FB16B6" w:rsidRPr="00DC7004" w:rsidRDefault="00FB16B6" w:rsidP="00F9671A">
      <w:pPr>
        <w:spacing w:after="0" w:line="240" w:lineRule="auto"/>
        <w:jc w:val="both"/>
        <w:rPr>
          <w:rFonts w:asciiTheme="majorHAnsi" w:hAnsiTheme="majorHAnsi" w:cs="Arial"/>
          <w:sz w:val="24"/>
          <w:szCs w:val="24"/>
        </w:rPr>
      </w:pPr>
    </w:p>
    <w:p w14:paraId="35F1BD10" w14:textId="7D6965FC" w:rsidR="00FB16B6" w:rsidRPr="00DC7004" w:rsidRDefault="00FB16B6" w:rsidP="00FB16B6">
      <w:pPr>
        <w:pStyle w:val="Prrafodelista"/>
        <w:numPr>
          <w:ilvl w:val="0"/>
          <w:numId w:val="2"/>
        </w:numPr>
        <w:spacing w:after="0" w:line="240" w:lineRule="auto"/>
        <w:jc w:val="both"/>
        <w:rPr>
          <w:rFonts w:asciiTheme="majorHAnsi" w:hAnsiTheme="majorHAnsi" w:cs="Arial"/>
          <w:sz w:val="24"/>
          <w:szCs w:val="24"/>
        </w:rPr>
      </w:pPr>
      <w:r w:rsidRPr="00DC7004">
        <w:rPr>
          <w:rFonts w:asciiTheme="majorHAnsi" w:hAnsiTheme="majorHAnsi" w:cs="Arial"/>
          <w:sz w:val="24"/>
          <w:szCs w:val="24"/>
        </w:rPr>
        <w:t>Enfermedades transmitidas por alimentos (ETA)</w:t>
      </w:r>
    </w:p>
    <w:p w14:paraId="4F7A7400" w14:textId="1ACA6758" w:rsidR="00FB16B6" w:rsidRPr="00DC7004" w:rsidRDefault="00FB16B6" w:rsidP="00FB16B6">
      <w:pPr>
        <w:pStyle w:val="Prrafodelista"/>
        <w:numPr>
          <w:ilvl w:val="0"/>
          <w:numId w:val="2"/>
        </w:numPr>
        <w:spacing w:after="0" w:line="240" w:lineRule="auto"/>
        <w:jc w:val="both"/>
        <w:rPr>
          <w:rFonts w:asciiTheme="majorHAnsi" w:hAnsiTheme="majorHAnsi" w:cs="Arial"/>
          <w:sz w:val="24"/>
          <w:szCs w:val="24"/>
        </w:rPr>
      </w:pPr>
      <w:r w:rsidRPr="00DC7004">
        <w:rPr>
          <w:rFonts w:asciiTheme="majorHAnsi" w:hAnsiTheme="majorHAnsi" w:cs="Arial"/>
          <w:sz w:val="24"/>
          <w:szCs w:val="24"/>
        </w:rPr>
        <w:t>Enfermedades Transmitidas por Vectores (ETV)</w:t>
      </w:r>
    </w:p>
    <w:p w14:paraId="61EB4CDF" w14:textId="4CD804D7" w:rsidR="00FB16B6" w:rsidRPr="00DC7004" w:rsidRDefault="00DC7004" w:rsidP="00FB16B6">
      <w:pPr>
        <w:pStyle w:val="Prrafodelista"/>
        <w:numPr>
          <w:ilvl w:val="0"/>
          <w:numId w:val="2"/>
        </w:numPr>
        <w:spacing w:after="0" w:line="240" w:lineRule="auto"/>
        <w:jc w:val="both"/>
        <w:rPr>
          <w:rFonts w:asciiTheme="majorHAnsi" w:hAnsiTheme="majorHAnsi" w:cs="Arial"/>
          <w:sz w:val="24"/>
          <w:szCs w:val="24"/>
        </w:rPr>
      </w:pPr>
      <w:r>
        <w:rPr>
          <w:rFonts w:asciiTheme="majorHAnsi" w:hAnsiTheme="majorHAnsi" w:cs="Arial"/>
          <w:sz w:val="24"/>
          <w:szCs w:val="24"/>
        </w:rPr>
        <w:t>Enfermedades Zoonó</w:t>
      </w:r>
      <w:r w:rsidR="00FB16B6" w:rsidRPr="00DC7004">
        <w:rPr>
          <w:rFonts w:asciiTheme="majorHAnsi" w:hAnsiTheme="majorHAnsi" w:cs="Arial"/>
          <w:sz w:val="24"/>
          <w:szCs w:val="24"/>
        </w:rPr>
        <w:t>ticas.</w:t>
      </w:r>
    </w:p>
    <w:p w14:paraId="6A0D8D04" w14:textId="3CFD4828" w:rsidR="00FB16B6" w:rsidRPr="00DC7004" w:rsidRDefault="00A11FFC" w:rsidP="00FB16B6">
      <w:pPr>
        <w:pStyle w:val="Prrafodelista"/>
        <w:numPr>
          <w:ilvl w:val="0"/>
          <w:numId w:val="2"/>
        </w:numPr>
        <w:spacing w:after="0" w:line="240" w:lineRule="auto"/>
        <w:jc w:val="both"/>
        <w:rPr>
          <w:rFonts w:asciiTheme="majorHAnsi" w:hAnsiTheme="majorHAnsi" w:cs="Arial"/>
          <w:sz w:val="24"/>
          <w:szCs w:val="24"/>
        </w:rPr>
      </w:pPr>
      <w:r w:rsidRPr="00DC7004">
        <w:rPr>
          <w:rFonts w:asciiTheme="majorHAnsi" w:hAnsiTheme="majorHAnsi" w:cs="Arial"/>
          <w:sz w:val="24"/>
          <w:szCs w:val="24"/>
        </w:rPr>
        <w:t>Infección Respiratoria Aguda (</w:t>
      </w:r>
      <w:r w:rsidR="0012090A" w:rsidRPr="00DC7004">
        <w:rPr>
          <w:rFonts w:asciiTheme="majorHAnsi" w:hAnsiTheme="majorHAnsi" w:cs="Arial"/>
          <w:sz w:val="24"/>
          <w:szCs w:val="24"/>
        </w:rPr>
        <w:t>IRA</w:t>
      </w:r>
      <w:r w:rsidRPr="00DC7004">
        <w:rPr>
          <w:rFonts w:asciiTheme="majorHAnsi" w:hAnsiTheme="majorHAnsi" w:cs="Arial"/>
          <w:sz w:val="24"/>
          <w:szCs w:val="24"/>
        </w:rPr>
        <w:t>)</w:t>
      </w:r>
    </w:p>
    <w:p w14:paraId="49DFE2B0" w14:textId="38E1F411" w:rsidR="0012090A" w:rsidRPr="00DC7004" w:rsidRDefault="00A11FFC" w:rsidP="00FB16B6">
      <w:pPr>
        <w:pStyle w:val="Prrafodelista"/>
        <w:numPr>
          <w:ilvl w:val="0"/>
          <w:numId w:val="2"/>
        </w:numPr>
        <w:spacing w:after="0" w:line="240" w:lineRule="auto"/>
        <w:jc w:val="both"/>
        <w:rPr>
          <w:rFonts w:asciiTheme="majorHAnsi" w:hAnsiTheme="majorHAnsi" w:cs="Arial"/>
          <w:sz w:val="24"/>
          <w:szCs w:val="24"/>
        </w:rPr>
      </w:pPr>
      <w:r w:rsidRPr="00DC7004">
        <w:rPr>
          <w:rFonts w:asciiTheme="majorHAnsi" w:hAnsiTheme="majorHAnsi" w:cs="Arial"/>
          <w:sz w:val="24"/>
          <w:szCs w:val="24"/>
        </w:rPr>
        <w:t>Enfermedad Diarreica Aguda (</w:t>
      </w:r>
      <w:r w:rsidR="0012090A" w:rsidRPr="00DC7004">
        <w:rPr>
          <w:rFonts w:asciiTheme="majorHAnsi" w:hAnsiTheme="majorHAnsi" w:cs="Arial"/>
          <w:sz w:val="24"/>
          <w:szCs w:val="24"/>
        </w:rPr>
        <w:t>EDA</w:t>
      </w:r>
      <w:r w:rsidRPr="00DC7004">
        <w:rPr>
          <w:rFonts w:asciiTheme="majorHAnsi" w:hAnsiTheme="majorHAnsi" w:cs="Arial"/>
          <w:sz w:val="24"/>
          <w:szCs w:val="24"/>
        </w:rPr>
        <w:t>)</w:t>
      </w:r>
    </w:p>
    <w:p w14:paraId="6A5405B5" w14:textId="767DF75A" w:rsidR="0012090A" w:rsidRPr="00DC7004" w:rsidRDefault="00B126F1" w:rsidP="00FB16B6">
      <w:pPr>
        <w:pStyle w:val="Prrafodelista"/>
        <w:numPr>
          <w:ilvl w:val="0"/>
          <w:numId w:val="2"/>
        </w:numPr>
        <w:spacing w:after="0" w:line="240" w:lineRule="auto"/>
        <w:jc w:val="both"/>
        <w:rPr>
          <w:rFonts w:asciiTheme="majorHAnsi" w:hAnsiTheme="majorHAnsi" w:cs="Arial"/>
          <w:sz w:val="24"/>
          <w:szCs w:val="24"/>
        </w:rPr>
      </w:pPr>
      <w:r w:rsidRPr="00DC7004">
        <w:rPr>
          <w:rFonts w:asciiTheme="majorHAnsi" w:hAnsiTheme="majorHAnsi" w:cs="Arial"/>
          <w:sz w:val="24"/>
          <w:szCs w:val="24"/>
        </w:rPr>
        <w:t>Riesgos Biológicos asociados a diferentes actividades económicas</w:t>
      </w:r>
    </w:p>
    <w:p w14:paraId="247FD965" w14:textId="77777777" w:rsidR="00911B04" w:rsidRPr="00DC7004" w:rsidRDefault="00911B04" w:rsidP="00F9671A">
      <w:pPr>
        <w:spacing w:after="0" w:line="240" w:lineRule="auto"/>
        <w:jc w:val="both"/>
        <w:rPr>
          <w:rFonts w:asciiTheme="majorHAnsi" w:hAnsiTheme="majorHAnsi" w:cs="Arial"/>
          <w:sz w:val="24"/>
          <w:szCs w:val="24"/>
        </w:rPr>
      </w:pPr>
    </w:p>
    <w:p w14:paraId="0663FCD1" w14:textId="3E7ED907" w:rsidR="003274A5" w:rsidRPr="00DC7004" w:rsidRDefault="003274A5" w:rsidP="00F9671A">
      <w:pPr>
        <w:spacing w:after="0" w:line="240" w:lineRule="auto"/>
        <w:jc w:val="both"/>
        <w:rPr>
          <w:rFonts w:asciiTheme="majorHAnsi" w:hAnsiTheme="majorHAnsi" w:cs="Arial"/>
          <w:sz w:val="24"/>
          <w:szCs w:val="24"/>
        </w:rPr>
      </w:pPr>
      <w:r w:rsidRPr="00DC7004">
        <w:rPr>
          <w:rFonts w:asciiTheme="majorHAnsi" w:hAnsiTheme="majorHAnsi" w:cs="Arial"/>
          <w:sz w:val="24"/>
          <w:szCs w:val="24"/>
        </w:rPr>
        <w:t xml:space="preserve">Teniendo en cuenta lo anterior se requiere </w:t>
      </w:r>
      <w:r w:rsidR="002C7136" w:rsidRPr="00DC7004">
        <w:rPr>
          <w:rFonts w:asciiTheme="majorHAnsi" w:hAnsiTheme="majorHAnsi" w:cs="Arial"/>
          <w:sz w:val="24"/>
          <w:szCs w:val="24"/>
        </w:rPr>
        <w:t xml:space="preserve">contar con un equipo de trabajo </w:t>
      </w:r>
      <w:r w:rsidR="00992D0D" w:rsidRPr="00DC7004">
        <w:rPr>
          <w:rFonts w:asciiTheme="majorHAnsi" w:hAnsiTheme="majorHAnsi" w:cs="Arial"/>
          <w:sz w:val="24"/>
          <w:szCs w:val="24"/>
        </w:rPr>
        <w:t xml:space="preserve">adicional </w:t>
      </w:r>
      <w:r w:rsidR="002C7136" w:rsidRPr="00DC7004">
        <w:rPr>
          <w:rFonts w:asciiTheme="majorHAnsi" w:hAnsiTheme="majorHAnsi" w:cs="Arial"/>
          <w:sz w:val="24"/>
          <w:szCs w:val="24"/>
        </w:rPr>
        <w:t xml:space="preserve">de por lo menos </w:t>
      </w:r>
      <w:r w:rsidR="00A5576E" w:rsidRPr="00DC7004">
        <w:rPr>
          <w:rFonts w:asciiTheme="majorHAnsi" w:hAnsiTheme="majorHAnsi" w:cs="Arial"/>
          <w:sz w:val="24"/>
          <w:szCs w:val="24"/>
        </w:rPr>
        <w:t>4</w:t>
      </w:r>
      <w:r w:rsidR="000425BD" w:rsidRPr="00DC7004">
        <w:rPr>
          <w:rFonts w:asciiTheme="majorHAnsi" w:hAnsiTheme="majorHAnsi" w:cs="Arial"/>
          <w:sz w:val="24"/>
          <w:szCs w:val="24"/>
        </w:rPr>
        <w:t xml:space="preserve"> funcionarios (Profesionales y/o técnicos) para el</w:t>
      </w:r>
      <w:r w:rsidR="003A3BE4" w:rsidRPr="00DC7004">
        <w:rPr>
          <w:rFonts w:asciiTheme="majorHAnsi" w:hAnsiTheme="majorHAnsi" w:cs="Arial"/>
          <w:sz w:val="24"/>
          <w:szCs w:val="24"/>
        </w:rPr>
        <w:t xml:space="preserve"> área de Factores de riesgos en salud asociados al consumo de alimentos y bebidas</w:t>
      </w:r>
      <w:r w:rsidR="00A5576E" w:rsidRPr="00DC7004">
        <w:rPr>
          <w:rFonts w:asciiTheme="majorHAnsi" w:hAnsiTheme="majorHAnsi" w:cs="Arial"/>
          <w:sz w:val="24"/>
          <w:szCs w:val="24"/>
        </w:rPr>
        <w:t xml:space="preserve">; 5 funcionarios (Profesionales y/o técnicos) para el área de Factores de riesgos en salud asociados al </w:t>
      </w:r>
      <w:r w:rsidR="00B0425F" w:rsidRPr="00DC7004">
        <w:rPr>
          <w:rFonts w:asciiTheme="majorHAnsi" w:hAnsiTheme="majorHAnsi" w:cs="Arial"/>
          <w:sz w:val="24"/>
          <w:szCs w:val="24"/>
        </w:rPr>
        <w:t>ambiente.</w:t>
      </w:r>
    </w:p>
    <w:p w14:paraId="552F365F" w14:textId="77777777" w:rsidR="008E7B8B" w:rsidRPr="00DC7004" w:rsidRDefault="008E7B8B" w:rsidP="00F9671A">
      <w:pPr>
        <w:spacing w:after="0" w:line="240" w:lineRule="auto"/>
        <w:jc w:val="both"/>
        <w:rPr>
          <w:rFonts w:asciiTheme="majorHAnsi" w:hAnsiTheme="majorHAnsi" w:cs="Arial"/>
          <w:sz w:val="24"/>
          <w:szCs w:val="24"/>
        </w:rPr>
      </w:pPr>
    </w:p>
    <w:p w14:paraId="0E537417" w14:textId="7D14F305" w:rsidR="002B5ED6" w:rsidRPr="00DC7004" w:rsidRDefault="002B5ED6" w:rsidP="002B5ED6">
      <w:pPr>
        <w:spacing w:after="0" w:line="240" w:lineRule="auto"/>
        <w:jc w:val="both"/>
        <w:rPr>
          <w:rFonts w:asciiTheme="majorHAnsi" w:hAnsiTheme="majorHAnsi" w:cs="Arial"/>
          <w:sz w:val="24"/>
          <w:szCs w:val="24"/>
        </w:rPr>
      </w:pPr>
      <w:r w:rsidRPr="00DC7004">
        <w:rPr>
          <w:rFonts w:asciiTheme="majorHAnsi" w:hAnsiTheme="majorHAnsi" w:cs="Arial"/>
          <w:sz w:val="24"/>
          <w:szCs w:val="24"/>
        </w:rPr>
        <w:t>Actualmente se cuenta con 3 funcionarios en el área IVC consumo donde cada uno realiza 120 inspecciones mensuales</w:t>
      </w:r>
      <w:r w:rsidR="0007402A" w:rsidRPr="00DC7004">
        <w:rPr>
          <w:rFonts w:asciiTheme="majorHAnsi" w:hAnsiTheme="majorHAnsi" w:cs="Arial"/>
          <w:sz w:val="24"/>
          <w:szCs w:val="24"/>
        </w:rPr>
        <w:t xml:space="preserve">, </w:t>
      </w:r>
      <w:r w:rsidRPr="00DC7004">
        <w:rPr>
          <w:rFonts w:asciiTheme="majorHAnsi" w:hAnsiTheme="majorHAnsi" w:cs="Arial"/>
          <w:sz w:val="24"/>
          <w:szCs w:val="24"/>
        </w:rPr>
        <w:t>2 funcionarios en el área IVC ambiente donde cada uno realiza 120 inspecciones mensuales</w:t>
      </w:r>
      <w:r w:rsidR="0007402A" w:rsidRPr="00DC7004">
        <w:rPr>
          <w:rFonts w:asciiTheme="majorHAnsi" w:hAnsiTheme="majorHAnsi" w:cs="Arial"/>
          <w:sz w:val="24"/>
          <w:szCs w:val="24"/>
        </w:rPr>
        <w:t xml:space="preserve"> y 2 funcionarios para</w:t>
      </w:r>
      <w:r w:rsidR="00AF261E" w:rsidRPr="00DC7004">
        <w:rPr>
          <w:rFonts w:asciiTheme="majorHAnsi" w:hAnsiTheme="majorHAnsi" w:cs="Arial"/>
          <w:sz w:val="24"/>
          <w:szCs w:val="24"/>
        </w:rPr>
        <w:t xml:space="preserve"> levantamiento de</w:t>
      </w:r>
      <w:r w:rsidR="0007402A" w:rsidRPr="00DC7004">
        <w:rPr>
          <w:rFonts w:asciiTheme="majorHAnsi" w:hAnsiTheme="majorHAnsi" w:cs="Arial"/>
          <w:sz w:val="24"/>
          <w:szCs w:val="24"/>
        </w:rPr>
        <w:t xml:space="preserve"> índices aédicos donde cada uno realiza 12.000 visitas semestrales.</w:t>
      </w:r>
    </w:p>
    <w:p w14:paraId="12537B1B" w14:textId="030267C4" w:rsidR="00E44F0F" w:rsidRPr="00DC7004" w:rsidRDefault="00E44F0F" w:rsidP="00F9671A">
      <w:pPr>
        <w:spacing w:after="0" w:line="240" w:lineRule="auto"/>
        <w:jc w:val="both"/>
        <w:rPr>
          <w:rFonts w:asciiTheme="majorHAnsi" w:hAnsiTheme="majorHAnsi" w:cs="Arial"/>
          <w:sz w:val="24"/>
          <w:szCs w:val="24"/>
        </w:rPr>
      </w:pPr>
    </w:p>
    <w:p w14:paraId="108D38F2" w14:textId="77777777" w:rsidR="002B5ED6" w:rsidRPr="00DC7004" w:rsidRDefault="002B5ED6" w:rsidP="00F9671A">
      <w:pPr>
        <w:spacing w:after="0" w:line="240" w:lineRule="auto"/>
        <w:jc w:val="both"/>
        <w:rPr>
          <w:rFonts w:asciiTheme="majorHAnsi" w:hAnsiTheme="majorHAnsi" w:cs="Arial"/>
          <w:sz w:val="24"/>
          <w:szCs w:val="24"/>
        </w:rPr>
      </w:pPr>
    </w:p>
    <w:p w14:paraId="50D0FFEC" w14:textId="77777777" w:rsidR="004B38ED" w:rsidRPr="00DC7004" w:rsidRDefault="004B38ED" w:rsidP="004B38ED">
      <w:pPr>
        <w:spacing w:after="0" w:line="240" w:lineRule="auto"/>
        <w:jc w:val="both"/>
        <w:rPr>
          <w:rFonts w:asciiTheme="majorHAnsi" w:hAnsiTheme="majorHAnsi" w:cs="Arial"/>
          <w:sz w:val="24"/>
          <w:szCs w:val="24"/>
        </w:rPr>
      </w:pPr>
    </w:p>
    <w:p w14:paraId="504EFA4F" w14:textId="77777777" w:rsidR="00F9671A" w:rsidRPr="00DC7004" w:rsidRDefault="00F9671A" w:rsidP="00F9671A">
      <w:pPr>
        <w:spacing w:after="0" w:line="240" w:lineRule="auto"/>
        <w:jc w:val="both"/>
        <w:rPr>
          <w:rFonts w:asciiTheme="majorHAnsi" w:hAnsiTheme="majorHAnsi" w:cs="Arial"/>
          <w:sz w:val="24"/>
          <w:szCs w:val="24"/>
        </w:rPr>
      </w:pPr>
      <w:r w:rsidRPr="00DC7004">
        <w:rPr>
          <w:rFonts w:asciiTheme="majorHAnsi" w:hAnsiTheme="majorHAnsi" w:cs="Arial"/>
          <w:sz w:val="24"/>
          <w:szCs w:val="24"/>
        </w:rPr>
        <w:t>Cordialmente,</w:t>
      </w:r>
    </w:p>
    <w:p w14:paraId="00E57907" w14:textId="77777777" w:rsidR="00F9671A" w:rsidRPr="00DC7004" w:rsidRDefault="00F9671A" w:rsidP="00F9671A">
      <w:pPr>
        <w:spacing w:after="0" w:line="240" w:lineRule="auto"/>
        <w:jc w:val="both"/>
        <w:rPr>
          <w:rFonts w:asciiTheme="majorHAnsi" w:hAnsiTheme="majorHAnsi" w:cs="Arial"/>
          <w:sz w:val="24"/>
          <w:szCs w:val="24"/>
        </w:rPr>
      </w:pPr>
    </w:p>
    <w:p w14:paraId="7E60AA3A" w14:textId="77777777" w:rsidR="00F9671A" w:rsidRPr="00DC7004" w:rsidRDefault="00F9671A" w:rsidP="00F9671A">
      <w:pPr>
        <w:spacing w:after="0" w:line="240" w:lineRule="auto"/>
        <w:jc w:val="both"/>
        <w:rPr>
          <w:rFonts w:asciiTheme="majorHAnsi" w:hAnsiTheme="majorHAnsi" w:cs="Arial"/>
          <w:sz w:val="24"/>
          <w:szCs w:val="24"/>
        </w:rPr>
      </w:pPr>
    </w:p>
    <w:p w14:paraId="5D6F651C" w14:textId="77777777" w:rsidR="00F9671A" w:rsidRPr="00DC7004" w:rsidRDefault="00F9671A" w:rsidP="00F9671A">
      <w:pPr>
        <w:spacing w:after="0" w:line="240" w:lineRule="auto"/>
        <w:jc w:val="both"/>
        <w:rPr>
          <w:rFonts w:asciiTheme="majorHAnsi" w:hAnsiTheme="majorHAnsi" w:cs="Arial"/>
          <w:sz w:val="24"/>
          <w:szCs w:val="24"/>
        </w:rPr>
      </w:pPr>
    </w:p>
    <w:p w14:paraId="1586DA16" w14:textId="07804244" w:rsidR="00F9671A" w:rsidRPr="00DC7004" w:rsidRDefault="00AF261E" w:rsidP="00F9671A">
      <w:pPr>
        <w:spacing w:after="0" w:line="240" w:lineRule="auto"/>
        <w:jc w:val="both"/>
        <w:rPr>
          <w:rFonts w:asciiTheme="majorHAnsi" w:hAnsiTheme="majorHAnsi" w:cs="Arial"/>
          <w:b/>
          <w:sz w:val="24"/>
          <w:szCs w:val="24"/>
        </w:rPr>
      </w:pPr>
      <w:r w:rsidRPr="00DC7004">
        <w:rPr>
          <w:rFonts w:asciiTheme="majorHAnsi" w:hAnsiTheme="majorHAnsi" w:cs="Arial"/>
          <w:b/>
          <w:sz w:val="24"/>
          <w:szCs w:val="24"/>
        </w:rPr>
        <w:t>JUAN CAMILO ARBELÁEZ PÉREZ</w:t>
      </w:r>
    </w:p>
    <w:p w14:paraId="71693B95" w14:textId="26C8B0BB" w:rsidR="00F9671A" w:rsidRPr="00DC7004" w:rsidRDefault="00AF261E" w:rsidP="00F9671A">
      <w:pPr>
        <w:spacing w:after="0" w:line="240" w:lineRule="auto"/>
        <w:jc w:val="both"/>
        <w:rPr>
          <w:rFonts w:asciiTheme="majorHAnsi" w:hAnsiTheme="majorHAnsi" w:cs="Arial"/>
          <w:sz w:val="24"/>
          <w:szCs w:val="24"/>
        </w:rPr>
      </w:pPr>
      <w:r w:rsidRPr="00DC7004">
        <w:rPr>
          <w:rFonts w:asciiTheme="majorHAnsi" w:hAnsiTheme="majorHAnsi" w:cs="Arial"/>
          <w:sz w:val="24"/>
          <w:szCs w:val="24"/>
        </w:rPr>
        <w:t>Profesional Universitario</w:t>
      </w:r>
    </w:p>
    <w:p w14:paraId="6D1FA8CE" w14:textId="77777777" w:rsidR="00F9671A" w:rsidRPr="00DC7004" w:rsidRDefault="00F9671A" w:rsidP="00F9671A">
      <w:pPr>
        <w:spacing w:after="0" w:line="240" w:lineRule="auto"/>
        <w:jc w:val="both"/>
        <w:rPr>
          <w:rFonts w:asciiTheme="majorHAnsi" w:hAnsiTheme="majorHAnsi" w:cs="Arial"/>
          <w:sz w:val="24"/>
          <w:szCs w:val="24"/>
        </w:rPr>
      </w:pPr>
    </w:p>
    <w:p w14:paraId="4A19D17E" w14:textId="1B6DDE43" w:rsidR="00AF261E" w:rsidRPr="00DC7004" w:rsidRDefault="00DC7004" w:rsidP="00AF261E">
      <w:pPr>
        <w:spacing w:after="0" w:line="240" w:lineRule="auto"/>
        <w:rPr>
          <w:rFonts w:asciiTheme="majorHAnsi" w:hAnsiTheme="majorHAnsi" w:cs="Arial"/>
          <w:sz w:val="24"/>
          <w:szCs w:val="24"/>
        </w:rPr>
      </w:pPr>
      <w:hyperlink r:id="rId10" w:history="1">
        <w:r w:rsidR="00AF261E" w:rsidRPr="00DC7004">
          <w:rPr>
            <w:rStyle w:val="Hipervnculo"/>
            <w:rFonts w:asciiTheme="majorHAnsi" w:hAnsiTheme="majorHAnsi" w:cs="Arial"/>
            <w:sz w:val="24"/>
            <w:szCs w:val="24"/>
          </w:rPr>
          <w:t>Juan.arbelaez@itagui.gov.co</w:t>
        </w:r>
      </w:hyperlink>
    </w:p>
    <w:p w14:paraId="5F0A1E43" w14:textId="7E2E710B" w:rsidR="00F9671A" w:rsidRPr="00DC7004" w:rsidRDefault="00AF261E" w:rsidP="00AF261E">
      <w:pPr>
        <w:spacing w:after="0" w:line="240" w:lineRule="auto"/>
        <w:rPr>
          <w:rFonts w:asciiTheme="majorHAnsi" w:hAnsiTheme="majorHAnsi" w:cs="Arial"/>
          <w:sz w:val="24"/>
          <w:szCs w:val="24"/>
        </w:rPr>
      </w:pPr>
      <w:r w:rsidRPr="00DC7004">
        <w:rPr>
          <w:rFonts w:asciiTheme="majorHAnsi" w:hAnsiTheme="majorHAnsi" w:cs="Arial"/>
          <w:sz w:val="24"/>
          <w:szCs w:val="24"/>
        </w:rPr>
        <w:t xml:space="preserve">3737676 </w:t>
      </w:r>
      <w:r w:rsidR="00DC7004" w:rsidRPr="00DC7004">
        <w:rPr>
          <w:rFonts w:asciiTheme="majorHAnsi" w:hAnsiTheme="majorHAnsi" w:cs="Arial"/>
          <w:sz w:val="24"/>
          <w:szCs w:val="24"/>
        </w:rPr>
        <w:t>ext.</w:t>
      </w:r>
      <w:r w:rsidRPr="00DC7004">
        <w:rPr>
          <w:rFonts w:asciiTheme="majorHAnsi" w:hAnsiTheme="majorHAnsi" w:cs="Arial"/>
          <w:sz w:val="24"/>
          <w:szCs w:val="24"/>
        </w:rPr>
        <w:t xml:space="preserve"> 2915</w:t>
      </w:r>
    </w:p>
    <w:p w14:paraId="1EB55F6A" w14:textId="4A7BA6CE" w:rsidR="00161473" w:rsidRPr="00DC7004" w:rsidRDefault="00161473" w:rsidP="00F9671A">
      <w:pPr>
        <w:rPr>
          <w:rFonts w:asciiTheme="majorHAnsi" w:hAnsiTheme="majorHAnsi"/>
          <w:sz w:val="24"/>
          <w:szCs w:val="24"/>
        </w:rPr>
      </w:pPr>
    </w:p>
    <w:sectPr w:rsidR="00161473" w:rsidRPr="00DC7004" w:rsidSect="00161473">
      <w:headerReference w:type="even" r:id="rId11"/>
      <w:headerReference w:type="default" r:id="rId12"/>
      <w:footerReference w:type="default" r:id="rId13"/>
      <w:headerReference w:type="first" r:id="rId14"/>
      <w:pgSz w:w="12240" w:h="15840"/>
      <w:pgMar w:top="2835" w:right="1021" w:bottom="1985" w:left="1701" w:header="709" w:footer="284" w:gutter="0"/>
      <w:cols w:space="708"/>
      <w:docGrid w:linePitch="360"/>
    </w:sectPr>
  </w:body>
</w:document>
</file>

<file path=word/comments.xml><?xml version="1.0" encoding="utf-8"?>
<w:comment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1" w:author="Juan Camilo Arbeláez Pérez" w:date="2021-07-21T18:08:00Z" w:initials="JCAP">
    <w:p w14:paraId="15272EF0" w14:textId="107252D0" w:rsidR="005D2B23" w:rsidRDefault="005D2B23">
      <w:pPr>
        <w:pStyle w:val="Textocomentario"/>
      </w:pPr>
      <w:r>
        <w:rPr>
          <w:rStyle w:val="Refdecomentario"/>
        </w:rPr>
        <w:annotationRef/>
      </w:r>
      <w:r w:rsidR="005D5635">
        <w:t>Indicar datos reales del 2020</w:t>
      </w:r>
    </w:p>
  </w:comment>
</w:comments>
</file>

<file path=word/commentsExtended.xml><?xml version="1.0" encoding="utf-8"?>
<w15:commentsEx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5272EF0" w15:done="0"/>
</w15:commentsEx>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0C50652" w14:textId="77777777" w:rsidR="005E1DAE" w:rsidRDefault="005E1DAE" w:rsidP="00F55049">
      <w:pPr>
        <w:spacing w:after="0" w:line="240" w:lineRule="auto"/>
      </w:pPr>
      <w:r>
        <w:separator/>
      </w:r>
    </w:p>
  </w:endnote>
  <w:endnote w:type="continuationSeparator" w:id="0">
    <w:p w14:paraId="2B027A6F" w14:textId="77777777" w:rsidR="005E1DAE" w:rsidRDefault="005E1DAE" w:rsidP="00F5504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8B0096A" w14:textId="77777777" w:rsidR="00E47EEE" w:rsidRDefault="00E47EEE">
    <w:pPr>
      <w:pStyle w:val="Piedepgina"/>
      <w:jc w:val="right"/>
    </w:pPr>
  </w:p>
  <w:p w14:paraId="5465E9F8" w14:textId="77777777" w:rsidR="00E47EEE" w:rsidRDefault="00E47EE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065EAFA" w14:textId="77777777" w:rsidR="005E1DAE" w:rsidRDefault="005E1DAE" w:rsidP="00F55049">
      <w:pPr>
        <w:spacing w:after="0" w:line="240" w:lineRule="auto"/>
      </w:pPr>
      <w:r>
        <w:separator/>
      </w:r>
    </w:p>
  </w:footnote>
  <w:footnote w:type="continuationSeparator" w:id="0">
    <w:p w14:paraId="7BEB02D5" w14:textId="77777777" w:rsidR="005E1DAE" w:rsidRDefault="005E1DAE" w:rsidP="00F5504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075163" w14:textId="77777777" w:rsidR="00A42212" w:rsidRDefault="00DC7004">
    <w:pPr>
      <w:pStyle w:val="Encabezado"/>
    </w:pPr>
    <w:r>
      <w:rPr>
        <w:noProof/>
      </w:rPr>
      <w:pict w14:anchorId="2FA505A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2967860" o:spid="_x0000_s2086" type="#_x0000_t75" style="position:absolute;margin-left:0;margin-top:0;width:612.5pt;height:793.9pt;z-index:-251657216;mso-position-horizontal:center;mso-position-horizontal-relative:margin;mso-position-vertical:center;mso-position-vertical-relative:margin" o:allowincell="f">
          <v:imagedata r:id="rId1" o:title="MEMBRETE--01"/>
          <w10:wrap anchorx="margin" anchory="margin"/>
        </v:shape>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8353B8" w14:textId="77777777" w:rsidR="00E548B7" w:rsidRDefault="005902B6">
    <w:pPr>
      <w:pStyle w:val="Encabezado"/>
    </w:pPr>
    <w:r>
      <w:rPr>
        <w:noProof/>
        <w:lang w:eastAsia="es-CO"/>
      </w:rPr>
      <w:drawing>
        <wp:anchor distT="0" distB="0" distL="114300" distR="114300" simplePos="0" relativeHeight="251660288" behindDoc="1" locked="0" layoutInCell="1" allowOverlap="1" wp14:anchorId="68D7299D" wp14:editId="5201BB86">
          <wp:simplePos x="0" y="0"/>
          <wp:positionH relativeFrom="margin">
            <wp:posOffset>-1079104</wp:posOffset>
          </wp:positionH>
          <wp:positionV relativeFrom="paragraph">
            <wp:posOffset>-450215</wp:posOffset>
          </wp:positionV>
          <wp:extent cx="7773937" cy="10087289"/>
          <wp:effectExtent l="0" t="0" r="0" b="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1">
                    <a:extLst>
                      <a:ext uri="{28A0092B-C50C-407E-A947-70E740481C1C}">
                        <a14:useLocalDpi xmlns:a14="http://schemas.microsoft.com/office/drawing/2010/main" val="0"/>
                      </a:ext>
                    </a:extLst>
                  </a:blip>
                  <a:stretch>
                    <a:fillRect/>
                  </a:stretch>
                </pic:blipFill>
                <pic:spPr>
                  <a:xfrm>
                    <a:off x="0" y="0"/>
                    <a:ext cx="7773937" cy="1008728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18042DE" w14:textId="77777777" w:rsidR="00A42212" w:rsidRDefault="00DC7004">
    <w:pPr>
      <w:pStyle w:val="Encabezado"/>
    </w:pPr>
    <w:r>
      <w:rPr>
        <w:noProof/>
      </w:rPr>
      <w:pict w14:anchorId="2459F4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532967859" o:spid="_x0000_s2085" type="#_x0000_t75" style="position:absolute;margin-left:0;margin-top:0;width:612.5pt;height:793.9pt;z-index:-251658240;mso-position-horizontal:center;mso-position-horizontal-relative:margin;mso-position-vertical:center;mso-position-vertical-relative:margin" o:allowincell="f">
          <v:imagedata r:id="rId1" o:title="MEMBRETE--01"/>
          <w10:wrap anchorx="margin" anchory="margin"/>
        </v:shape>
      </w:pic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1757796"/>
    <w:multiLevelType w:val="hybridMultilevel"/>
    <w:tmpl w:val="44D4D3F0"/>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 w15:restartNumberingAfterBreak="0">
    <w:nsid w:val="4C4D6672"/>
    <w:multiLevelType w:val="hybridMultilevel"/>
    <w:tmpl w:val="F8546AB6"/>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abstractNumId w:val="0"/>
  </w:num>
  <w:num w:numId="2">
    <w:abstractNumId w:val="1"/>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Juan Camilo Arbeláez Pérez">
    <w15:presenceInfo w15:providerId="AD" w15:userId="S-1-5-21-1555193522-394719155-446512346-1274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grammar="clean"/>
  <w:defaultTabStop w:val="708"/>
  <w:hyphenationZone w:val="425"/>
  <w:characterSpacingControl w:val="doNotCompress"/>
  <w:hdrShapeDefaults>
    <o:shapedefaults v:ext="edit" spidmax="2087"/>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5049"/>
    <w:rsid w:val="000069E4"/>
    <w:rsid w:val="000378A9"/>
    <w:rsid w:val="000425BD"/>
    <w:rsid w:val="00066E9F"/>
    <w:rsid w:val="0007402A"/>
    <w:rsid w:val="00077A35"/>
    <w:rsid w:val="0009171C"/>
    <w:rsid w:val="000A5EB6"/>
    <w:rsid w:val="000C464E"/>
    <w:rsid w:val="000D3AEA"/>
    <w:rsid w:val="00103F33"/>
    <w:rsid w:val="0012090A"/>
    <w:rsid w:val="00132F92"/>
    <w:rsid w:val="00134649"/>
    <w:rsid w:val="00151509"/>
    <w:rsid w:val="00161473"/>
    <w:rsid w:val="001742E9"/>
    <w:rsid w:val="00194BD6"/>
    <w:rsid w:val="0019611D"/>
    <w:rsid w:val="001A6900"/>
    <w:rsid w:val="001B6BA1"/>
    <w:rsid w:val="001C5AD4"/>
    <w:rsid w:val="001C673C"/>
    <w:rsid w:val="001D6847"/>
    <w:rsid w:val="001F12FC"/>
    <w:rsid w:val="00220572"/>
    <w:rsid w:val="002276A8"/>
    <w:rsid w:val="002336E8"/>
    <w:rsid w:val="0025074A"/>
    <w:rsid w:val="002804F7"/>
    <w:rsid w:val="002866A9"/>
    <w:rsid w:val="00293A77"/>
    <w:rsid w:val="002B3E4C"/>
    <w:rsid w:val="002B5ED6"/>
    <w:rsid w:val="002C05EE"/>
    <w:rsid w:val="002C7136"/>
    <w:rsid w:val="003274A5"/>
    <w:rsid w:val="00337398"/>
    <w:rsid w:val="00341A02"/>
    <w:rsid w:val="003469B3"/>
    <w:rsid w:val="00356121"/>
    <w:rsid w:val="00362B03"/>
    <w:rsid w:val="00396D72"/>
    <w:rsid w:val="003A3BE4"/>
    <w:rsid w:val="003B5DA0"/>
    <w:rsid w:val="003C568F"/>
    <w:rsid w:val="003D1EC8"/>
    <w:rsid w:val="00411030"/>
    <w:rsid w:val="0046322A"/>
    <w:rsid w:val="0047470E"/>
    <w:rsid w:val="004A07A7"/>
    <w:rsid w:val="004A3542"/>
    <w:rsid w:val="004B38ED"/>
    <w:rsid w:val="004B7DF5"/>
    <w:rsid w:val="004E3B81"/>
    <w:rsid w:val="00544F50"/>
    <w:rsid w:val="005727E0"/>
    <w:rsid w:val="005902B6"/>
    <w:rsid w:val="005D2B23"/>
    <w:rsid w:val="005D5635"/>
    <w:rsid w:val="005E1DAE"/>
    <w:rsid w:val="006063A4"/>
    <w:rsid w:val="00646083"/>
    <w:rsid w:val="006507F3"/>
    <w:rsid w:val="00661858"/>
    <w:rsid w:val="006815AF"/>
    <w:rsid w:val="0069552C"/>
    <w:rsid w:val="006B748C"/>
    <w:rsid w:val="006B7EDE"/>
    <w:rsid w:val="006F76B0"/>
    <w:rsid w:val="007058A1"/>
    <w:rsid w:val="00755369"/>
    <w:rsid w:val="007675DE"/>
    <w:rsid w:val="00770E9E"/>
    <w:rsid w:val="00780718"/>
    <w:rsid w:val="007B326D"/>
    <w:rsid w:val="007C5FF2"/>
    <w:rsid w:val="00804CBC"/>
    <w:rsid w:val="0081739B"/>
    <w:rsid w:val="0086684F"/>
    <w:rsid w:val="008E34B0"/>
    <w:rsid w:val="008E7B8B"/>
    <w:rsid w:val="00905944"/>
    <w:rsid w:val="00911B04"/>
    <w:rsid w:val="0092225B"/>
    <w:rsid w:val="009252FB"/>
    <w:rsid w:val="0093386C"/>
    <w:rsid w:val="009369C9"/>
    <w:rsid w:val="00992D0D"/>
    <w:rsid w:val="009A7BB8"/>
    <w:rsid w:val="00A11FFC"/>
    <w:rsid w:val="00A42212"/>
    <w:rsid w:val="00A433B5"/>
    <w:rsid w:val="00A5576E"/>
    <w:rsid w:val="00A86CF4"/>
    <w:rsid w:val="00AF261E"/>
    <w:rsid w:val="00B0425F"/>
    <w:rsid w:val="00B126F1"/>
    <w:rsid w:val="00B92AF1"/>
    <w:rsid w:val="00BC60E4"/>
    <w:rsid w:val="00BD1802"/>
    <w:rsid w:val="00C17350"/>
    <w:rsid w:val="00C40AF0"/>
    <w:rsid w:val="00C611EA"/>
    <w:rsid w:val="00C778E0"/>
    <w:rsid w:val="00C95A57"/>
    <w:rsid w:val="00CA656B"/>
    <w:rsid w:val="00D03939"/>
    <w:rsid w:val="00D101F3"/>
    <w:rsid w:val="00D36456"/>
    <w:rsid w:val="00DA430C"/>
    <w:rsid w:val="00DB7AA5"/>
    <w:rsid w:val="00DC7004"/>
    <w:rsid w:val="00DE71D6"/>
    <w:rsid w:val="00DF323A"/>
    <w:rsid w:val="00DF5AAE"/>
    <w:rsid w:val="00E0009A"/>
    <w:rsid w:val="00E12B2E"/>
    <w:rsid w:val="00E44F0F"/>
    <w:rsid w:val="00E47EEE"/>
    <w:rsid w:val="00E548B7"/>
    <w:rsid w:val="00EC1EA3"/>
    <w:rsid w:val="00ED5C26"/>
    <w:rsid w:val="00EE5184"/>
    <w:rsid w:val="00F315F0"/>
    <w:rsid w:val="00F55049"/>
    <w:rsid w:val="00F74DC6"/>
    <w:rsid w:val="00F9671A"/>
    <w:rsid w:val="00FA4BC1"/>
    <w:rsid w:val="00FB01E1"/>
    <w:rsid w:val="00FB16B6"/>
    <w:rsid w:val="00FC6B6E"/>
    <w:rsid w:val="00FD0FE8"/>
    <w:rsid w:val="00FE38F1"/>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87"/>
    <o:shapelayout v:ext="edit">
      <o:idmap v:ext="edit" data="1"/>
    </o:shapelayout>
  </w:shapeDefaults>
  <w:decimalSymbol w:val=","/>
  <w:listSeparator w:val=","/>
  <w14:docId w14:val="3B6B1C55"/>
  <w15:chartTrackingRefBased/>
  <w15:docId w15:val="{4D3DEB94-9471-41CA-A0DE-198BC3CD42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9671A"/>
    <w:pPr>
      <w:spacing w:line="256" w:lineRule="auto"/>
    </w:p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5504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55049"/>
  </w:style>
  <w:style w:type="paragraph" w:styleId="Piedepgina">
    <w:name w:val="footer"/>
    <w:basedOn w:val="Normal"/>
    <w:link w:val="PiedepginaCar"/>
    <w:uiPriority w:val="99"/>
    <w:unhideWhenUsed/>
    <w:rsid w:val="00F5504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55049"/>
  </w:style>
  <w:style w:type="paragraph" w:styleId="Prrafodelista">
    <w:name w:val="List Paragraph"/>
    <w:basedOn w:val="Normal"/>
    <w:uiPriority w:val="34"/>
    <w:qFormat/>
    <w:rsid w:val="00E44F0F"/>
    <w:pPr>
      <w:ind w:left="720"/>
      <w:contextualSpacing/>
    </w:pPr>
  </w:style>
  <w:style w:type="character" w:styleId="Hipervnculo">
    <w:name w:val="Hyperlink"/>
    <w:basedOn w:val="Fuentedeprrafopredeter"/>
    <w:uiPriority w:val="99"/>
    <w:unhideWhenUsed/>
    <w:rsid w:val="004B38ED"/>
    <w:rPr>
      <w:color w:val="0563C1" w:themeColor="hyperlink"/>
      <w:u w:val="single"/>
    </w:rPr>
  </w:style>
  <w:style w:type="character" w:styleId="Refdecomentario">
    <w:name w:val="annotation reference"/>
    <w:basedOn w:val="Fuentedeprrafopredeter"/>
    <w:uiPriority w:val="99"/>
    <w:semiHidden/>
    <w:unhideWhenUsed/>
    <w:rsid w:val="005D2B23"/>
    <w:rPr>
      <w:sz w:val="16"/>
      <w:szCs w:val="16"/>
    </w:rPr>
  </w:style>
  <w:style w:type="paragraph" w:styleId="Textocomentario">
    <w:name w:val="annotation text"/>
    <w:basedOn w:val="Normal"/>
    <w:link w:val="TextocomentarioCar"/>
    <w:uiPriority w:val="99"/>
    <w:semiHidden/>
    <w:unhideWhenUsed/>
    <w:rsid w:val="005D2B23"/>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D2B23"/>
    <w:rPr>
      <w:sz w:val="20"/>
      <w:szCs w:val="20"/>
    </w:rPr>
  </w:style>
  <w:style w:type="paragraph" w:styleId="Asuntodelcomentario">
    <w:name w:val="annotation subject"/>
    <w:basedOn w:val="Textocomentario"/>
    <w:next w:val="Textocomentario"/>
    <w:link w:val="AsuntodelcomentarioCar"/>
    <w:uiPriority w:val="99"/>
    <w:semiHidden/>
    <w:unhideWhenUsed/>
    <w:rsid w:val="005D2B23"/>
    <w:rPr>
      <w:b/>
      <w:bCs/>
    </w:rPr>
  </w:style>
  <w:style w:type="character" w:customStyle="1" w:styleId="AsuntodelcomentarioCar">
    <w:name w:val="Asunto del comentario Car"/>
    <w:basedOn w:val="TextocomentarioCar"/>
    <w:link w:val="Asuntodelcomentario"/>
    <w:uiPriority w:val="99"/>
    <w:semiHidden/>
    <w:rsid w:val="005D2B23"/>
    <w:rPr>
      <w:b/>
      <w:bCs/>
      <w:sz w:val="20"/>
      <w:szCs w:val="20"/>
    </w:rPr>
  </w:style>
  <w:style w:type="paragraph" w:styleId="Textodeglobo">
    <w:name w:val="Balloon Text"/>
    <w:basedOn w:val="Normal"/>
    <w:link w:val="TextodegloboCar"/>
    <w:uiPriority w:val="99"/>
    <w:semiHidden/>
    <w:unhideWhenUsed/>
    <w:rsid w:val="005D2B23"/>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D2B2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629459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comments" Target="comment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numbering" Target="numbering.xml"/><Relationship Id="rId16" Type="http://schemas.microsoft.com/office/2011/relationships/people" Target="peop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Juan.arbelaez@itagui.gov.co" TargetMode="External"/><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41C653D-EBAE-45EE-8638-D185A9A520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TotalTime>
  <Pages>4</Pages>
  <Words>1323</Words>
  <Characters>7282</Characters>
  <Application>Microsoft Office Word</Application>
  <DocSecurity>0</DocSecurity>
  <Lines>60</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Edisson</dc:creator>
  <cp:keywords/>
  <dc:description/>
  <cp:lastModifiedBy>Ximena Muñoz Jurado</cp:lastModifiedBy>
  <cp:revision>3</cp:revision>
  <cp:lastPrinted>2019-12-13T23:48:00Z</cp:lastPrinted>
  <dcterms:created xsi:type="dcterms:W3CDTF">2022-06-07T00:26:00Z</dcterms:created>
  <dcterms:modified xsi:type="dcterms:W3CDTF">2022-06-07T20:07:00Z</dcterms:modified>
</cp:coreProperties>
</file>